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4A0" w:firstRow="1" w:lastRow="0" w:firstColumn="1" w:lastColumn="0" w:noHBand="0" w:noVBand="1"/>
      </w:tblPr>
      <w:tblGrid>
        <w:gridCol w:w="3144"/>
        <w:gridCol w:w="2091"/>
        <w:gridCol w:w="3593"/>
      </w:tblGrid>
      <w:tr w:rsidR="00473802" w:rsidRPr="00473802" w14:paraId="05A2F85A" w14:textId="77777777" w:rsidTr="00473802">
        <w:trPr>
          <w:trHeight w:val="360"/>
        </w:trPr>
        <w:tc>
          <w:tcPr>
            <w:tcW w:w="0" w:type="auto"/>
            <w:gridSpan w:val="3"/>
            <w:tcBorders>
              <w:top w:val="single" w:sz="4" w:space="0" w:color="auto"/>
              <w:left w:val="single" w:sz="4" w:space="0" w:color="auto"/>
              <w:bottom w:val="nil"/>
              <w:right w:val="single" w:sz="4" w:space="0" w:color="000000"/>
            </w:tcBorders>
            <w:vAlign w:val="center"/>
            <w:hideMark/>
          </w:tcPr>
          <w:p w14:paraId="7DBAE2FD" w14:textId="2DDE5A34" w:rsidR="00473802" w:rsidRPr="00473802" w:rsidRDefault="00A82AB3" w:rsidP="00473802">
            <w:pPr>
              <w:jc w:val="center"/>
              <w:rPr>
                <w:rFonts w:ascii="Arial" w:eastAsia="Times New Roman" w:hAnsi="Arial" w:cs="Arial"/>
                <w:b/>
                <w:bCs/>
                <w:color w:val="000000"/>
                <w:sz w:val="20"/>
                <w:szCs w:val="20"/>
                <w:lang w:val="es-MX" w:eastAsia="es-MX"/>
              </w:rPr>
            </w:pPr>
            <w:r>
              <w:rPr>
                <w:rFonts w:ascii="Arial" w:eastAsia="Times New Roman" w:hAnsi="Arial" w:cs="Arial"/>
                <w:b/>
                <w:bCs/>
                <w:color w:val="000000"/>
                <w:sz w:val="20"/>
                <w:szCs w:val="20"/>
                <w:lang w:val="es-MX" w:eastAsia="es-MX"/>
              </w:rPr>
              <w:t>Anexo 1.1.</w:t>
            </w:r>
          </w:p>
        </w:tc>
      </w:tr>
      <w:tr w:rsidR="00473802" w:rsidRPr="00473802" w14:paraId="1E55FF8E" w14:textId="77777777" w:rsidTr="00473802">
        <w:trPr>
          <w:trHeight w:val="255"/>
        </w:trPr>
        <w:tc>
          <w:tcPr>
            <w:tcW w:w="0" w:type="auto"/>
            <w:gridSpan w:val="3"/>
            <w:tcBorders>
              <w:top w:val="nil"/>
              <w:left w:val="single" w:sz="4" w:space="0" w:color="auto"/>
              <w:bottom w:val="nil"/>
              <w:right w:val="single" w:sz="4" w:space="0" w:color="000000"/>
            </w:tcBorders>
            <w:vAlign w:val="center"/>
            <w:hideMark/>
          </w:tcPr>
          <w:p w14:paraId="581E52A9" w14:textId="77777777" w:rsidR="00473802" w:rsidRPr="00473802" w:rsidRDefault="00473802" w:rsidP="00473802">
            <w:pPr>
              <w:jc w:val="center"/>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GOBERNACIÓN DE SUCRE</w:t>
            </w:r>
          </w:p>
        </w:tc>
      </w:tr>
      <w:tr w:rsidR="00473802" w:rsidRPr="00473802" w14:paraId="1126E0DA" w14:textId="77777777" w:rsidTr="00473802">
        <w:trPr>
          <w:trHeight w:val="255"/>
        </w:trPr>
        <w:tc>
          <w:tcPr>
            <w:tcW w:w="0" w:type="auto"/>
            <w:gridSpan w:val="3"/>
            <w:tcBorders>
              <w:top w:val="nil"/>
              <w:left w:val="single" w:sz="4" w:space="0" w:color="auto"/>
              <w:bottom w:val="nil"/>
              <w:right w:val="single" w:sz="4" w:space="0" w:color="000000"/>
            </w:tcBorders>
            <w:vAlign w:val="center"/>
            <w:hideMark/>
          </w:tcPr>
          <w:p w14:paraId="64399C1D" w14:textId="4F29C147" w:rsidR="00473802" w:rsidRPr="00473802" w:rsidRDefault="00473802" w:rsidP="00473802">
            <w:pPr>
              <w:jc w:val="center"/>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CONDICIONES TÉCNICAS BÁSICAS OBLIGATORIAS</w:t>
            </w:r>
          </w:p>
        </w:tc>
      </w:tr>
      <w:tr w:rsidR="00473802" w:rsidRPr="00473802" w14:paraId="0039ACA5" w14:textId="77777777" w:rsidTr="00473802">
        <w:trPr>
          <w:trHeight w:val="255"/>
        </w:trPr>
        <w:tc>
          <w:tcPr>
            <w:tcW w:w="0" w:type="auto"/>
            <w:gridSpan w:val="3"/>
            <w:tcBorders>
              <w:top w:val="nil"/>
              <w:left w:val="single" w:sz="4" w:space="0" w:color="auto"/>
              <w:bottom w:val="single" w:sz="4" w:space="0" w:color="auto"/>
              <w:right w:val="single" w:sz="4" w:space="0" w:color="000000"/>
            </w:tcBorders>
            <w:vAlign w:val="center"/>
            <w:hideMark/>
          </w:tcPr>
          <w:p w14:paraId="1B8CB648" w14:textId="77777777" w:rsidR="00473802" w:rsidRPr="00473802" w:rsidRDefault="00473802" w:rsidP="00473802">
            <w:pPr>
              <w:jc w:val="center"/>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PÓLIZA DE SEGURO DE TODO RIESGO DAÑOS MATERIALES</w:t>
            </w:r>
          </w:p>
        </w:tc>
      </w:tr>
      <w:tr w:rsidR="00473802" w:rsidRPr="00473802" w14:paraId="1B443E41" w14:textId="77777777" w:rsidTr="00473802">
        <w:trPr>
          <w:trHeight w:val="30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A0EA2B" w14:textId="02B09890" w:rsidR="00473802" w:rsidRPr="00473802" w:rsidRDefault="00473802" w:rsidP="00473802">
            <w:pPr>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TOMADOR: </w:t>
            </w:r>
            <w:r w:rsidRPr="00473802">
              <w:rPr>
                <w:rFonts w:ascii="Arial" w:eastAsia="Times New Roman" w:hAnsi="Arial" w:cs="Arial"/>
                <w:sz w:val="20"/>
                <w:szCs w:val="20"/>
                <w:lang w:val="es-MX" w:eastAsia="es-MX"/>
              </w:rPr>
              <w:t>GOBERNACIÓN DE SUCRE</w:t>
            </w:r>
          </w:p>
        </w:tc>
      </w:tr>
      <w:tr w:rsidR="00473802" w:rsidRPr="00473802" w14:paraId="55016BE3" w14:textId="77777777" w:rsidTr="00473802">
        <w:trPr>
          <w:trHeight w:val="30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15022E" w14:textId="73D1457E" w:rsidR="00473802" w:rsidRPr="00473802" w:rsidRDefault="00473802" w:rsidP="00473802">
            <w:pPr>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ASEGURADO:</w:t>
            </w:r>
            <w:r w:rsidRPr="00473802">
              <w:rPr>
                <w:rFonts w:ascii="Arial" w:eastAsia="Times New Roman" w:hAnsi="Arial" w:cs="Arial"/>
                <w:sz w:val="20"/>
                <w:szCs w:val="20"/>
                <w:lang w:val="es-MX" w:eastAsia="es-MX"/>
              </w:rPr>
              <w:t xml:space="preserve"> GOBERNACIÓN DE SUCRE</w:t>
            </w:r>
          </w:p>
        </w:tc>
      </w:tr>
      <w:tr w:rsidR="00473802" w:rsidRPr="00473802" w14:paraId="0FB36510" w14:textId="77777777" w:rsidTr="00473802">
        <w:trPr>
          <w:trHeight w:val="30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94C0C0" w14:textId="1898D329" w:rsidR="00473802" w:rsidRPr="00473802" w:rsidRDefault="00473802" w:rsidP="00473802">
            <w:pPr>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BENEFICIARIO: </w:t>
            </w:r>
            <w:r w:rsidRPr="00473802">
              <w:rPr>
                <w:rFonts w:ascii="Arial" w:eastAsia="Times New Roman" w:hAnsi="Arial" w:cs="Arial"/>
                <w:sz w:val="20"/>
                <w:szCs w:val="20"/>
                <w:lang w:val="es-MX" w:eastAsia="es-MX"/>
              </w:rPr>
              <w:t>GOBERNACIÓN DE SUCRE</w:t>
            </w:r>
          </w:p>
        </w:tc>
      </w:tr>
      <w:tr w:rsidR="00D40253" w:rsidRPr="00473802" w14:paraId="3B774F5F" w14:textId="77777777" w:rsidTr="00473802">
        <w:trPr>
          <w:trHeight w:val="300"/>
        </w:trPr>
        <w:tc>
          <w:tcPr>
            <w:tcW w:w="0" w:type="auto"/>
            <w:gridSpan w:val="3"/>
            <w:tcBorders>
              <w:top w:val="single" w:sz="4" w:space="0" w:color="auto"/>
              <w:left w:val="single" w:sz="4" w:space="0" w:color="auto"/>
              <w:bottom w:val="single" w:sz="4" w:space="0" w:color="auto"/>
              <w:right w:val="single" w:sz="4" w:space="0" w:color="auto"/>
            </w:tcBorders>
            <w:vAlign w:val="center"/>
          </w:tcPr>
          <w:p w14:paraId="11105AC7" w14:textId="2E8A8553" w:rsidR="00D40253" w:rsidRPr="00473802" w:rsidRDefault="00D40253" w:rsidP="00473802">
            <w:pPr>
              <w:rPr>
                <w:rFonts w:ascii="Arial" w:eastAsia="Times New Roman" w:hAnsi="Arial" w:cs="Arial"/>
                <w:b/>
                <w:bCs/>
                <w:sz w:val="20"/>
                <w:szCs w:val="20"/>
                <w:lang w:val="es-MX" w:eastAsia="es-MX"/>
              </w:rPr>
            </w:pPr>
            <w:r>
              <w:rPr>
                <w:rFonts w:ascii="Arial" w:eastAsia="Times New Roman" w:hAnsi="Arial" w:cs="Arial"/>
                <w:b/>
                <w:bCs/>
                <w:sz w:val="20"/>
                <w:szCs w:val="20"/>
                <w:lang w:val="es-MX" w:eastAsia="es-MX"/>
              </w:rPr>
              <w:t xml:space="preserve">VIGENCIA: </w:t>
            </w:r>
            <w:r w:rsidRPr="00D40253">
              <w:rPr>
                <w:rFonts w:ascii="Arial" w:eastAsia="Times New Roman" w:hAnsi="Arial" w:cs="Arial"/>
                <w:sz w:val="20"/>
                <w:szCs w:val="20"/>
                <w:lang w:val="es-MX" w:eastAsia="es-MX"/>
              </w:rPr>
              <w:t xml:space="preserve">UN AÑO A PARTIR DEL VENCIMIENTO DE LA </w:t>
            </w:r>
            <w:r>
              <w:rPr>
                <w:rFonts w:ascii="Arial" w:eastAsia="Times New Roman" w:hAnsi="Arial" w:cs="Arial"/>
                <w:sz w:val="20"/>
                <w:szCs w:val="20"/>
                <w:lang w:val="es-MX" w:eastAsia="es-MX"/>
              </w:rPr>
              <w:t>POLIZA ACTUAL.</w:t>
            </w:r>
          </w:p>
        </w:tc>
      </w:tr>
      <w:tr w:rsidR="00473802" w:rsidRPr="00473802" w14:paraId="4DFA4773"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7038CC15" w14:textId="06F900C4" w:rsidR="00473802" w:rsidRPr="00473802" w:rsidRDefault="00473802" w:rsidP="00473802">
            <w:pPr>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t>1. Objeto del Seguro:</w:t>
            </w:r>
          </w:p>
        </w:tc>
      </w:tr>
      <w:tr w:rsidR="00473802" w:rsidRPr="00473802" w14:paraId="677E43A7" w14:textId="77777777" w:rsidTr="00473802">
        <w:trPr>
          <w:trHeight w:val="72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593F081" w14:textId="77777777" w:rsidR="00473802" w:rsidRPr="00473802" w:rsidRDefault="00473802" w:rsidP="00473802">
            <w:pPr>
              <w:jc w:val="both"/>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Amparar las pérdidas y/o daños materiales que sufran los bienes de propiedad de la GOBERNACIÓN DE SUCRE, o bajo su responsabilidad, tenencia o control y, en general, los recibidos a cualquier título y/o por los que tenga algún interés asegurable.</w:t>
            </w:r>
          </w:p>
        </w:tc>
      </w:tr>
      <w:tr w:rsidR="00473802" w:rsidRPr="00473802" w14:paraId="0EF879AD"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71F63FBF" w14:textId="77777777" w:rsidR="00473802" w:rsidRPr="00473802" w:rsidRDefault="00473802" w:rsidP="00473802">
            <w:pPr>
              <w:jc w:val="both"/>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t>2. Cobertura Básica</w:t>
            </w:r>
          </w:p>
        </w:tc>
      </w:tr>
      <w:tr w:rsidR="00473802" w:rsidRPr="00473802" w14:paraId="2E4A5772" w14:textId="77777777" w:rsidTr="00473802">
        <w:trPr>
          <w:trHeight w:val="441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D609BEA"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Modalidad de la póliza: Todo Riesgo pérdida y/o daño material con exclusiones. </w:t>
            </w:r>
            <w:r w:rsidRPr="00473802">
              <w:rPr>
                <w:rFonts w:ascii="Arial" w:eastAsia="Times New Roman" w:hAnsi="Arial" w:cs="Arial"/>
                <w:color w:val="000000"/>
                <w:sz w:val="20"/>
                <w:szCs w:val="20"/>
                <w:lang w:val="es-MX" w:eastAsia="es-MX"/>
              </w:rPr>
              <w:t>La aseguradora se obliga a indemnizar al asegurado los daños y/o pérdidas que sufran los intereses asegurados, así como los costos y/o gastos en que incurra, o todos combinados, como consecuencia de los riesgos que a continuación se enuncian: Todo riesgo para las pérdidas y/o daños materiales que sufran los intereses asegurados por cualquier riesgo y/o causas, incluidos, pero no limitados a: Incendio, explosión, anegación, daños por agua; cobertura extendida (granizo, humo, caída de aeronaves); huelga, asonada, motín, conmoción civil o popular, actos malintencionados de terceros, incluidos sabotaje y los actos terroristas, cometidos o no por movimientos subversivos (tomas a poblaciones, municipios y ciudades y los actos de la autoridad para repelerlos; terremoto, temblor y/o erupción volcánica y/o eventos de la naturaleza tales como ciclón, huracán, tempestad, vientos, inundación, desbordamiento, alza en el nivel de aguas y enfangamiento, hundimiento, deslizamiento del terreno, derrumbes, aludes, desprendimiento de tierra y rocas, y las pérdidas y/o daños consecuenciales originados por tales fenómenos; daño interno de equipos eléctricos y electrónicos: coberturas de todo riesgo daño material por rotura de maquinaria y equipos eléctricos y electrónicos (explosión física o química interna, caída directa de rayo, rotura debido a fuerza centrifuga, cuerpo extraños, acción directa de la energía eléctrica y/o rayo, impericia, descuido, negligencia; sabotaje individual; error de diseño, defecto de mano de obra, falta de agua en aparatos generadores de vapor, otros accidentes ocurridos a los equipos por causas no expresamente excluidas en la póliza); rotura de vidrios, sustracción con violencia y sustracción sin violencia, y demás amparos y/o coberturas que no se encuentren expresamente excluidas, opera siempre que provenga de un evento amparado en la póliza de daños materiales o cualquier evento de la naturaleza generado de manera súbita e imprevista.</w:t>
            </w:r>
          </w:p>
        </w:tc>
      </w:tr>
      <w:tr w:rsidR="00473802" w:rsidRPr="00473802" w14:paraId="07634FCF"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75097891" w14:textId="77777777" w:rsidR="00473802" w:rsidRPr="00473802" w:rsidRDefault="00473802" w:rsidP="00473802">
            <w:pPr>
              <w:jc w:val="both"/>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t xml:space="preserve">3. Bienes e Intereses Asegurados: </w:t>
            </w:r>
          </w:p>
        </w:tc>
      </w:tr>
      <w:tr w:rsidR="00473802" w:rsidRPr="00473802" w14:paraId="089E86C3" w14:textId="77777777" w:rsidTr="00473802">
        <w:trPr>
          <w:trHeight w:val="127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7F978DE" w14:textId="77777777" w:rsidR="00473802" w:rsidRPr="00473802" w:rsidRDefault="00473802" w:rsidP="00473802">
            <w:pPr>
              <w:jc w:val="both"/>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Toda propiedad real o personal de la GOBERNACIÓN DE SUCRE, los tomados en arriendo, los recibidos en dación de pago, y los de terceros que se encuentren bajo su cuidado, control y custodia, o en los que tuviese interés asegurable o los recibidos a cualquier título o aquellos por los cuales sea o pueda llegar a ser legalmente responsable, utilizados en desarrollo del objeto social del asegurado, consistentes principalmente, pero no limitados a: </w:t>
            </w:r>
          </w:p>
        </w:tc>
      </w:tr>
      <w:tr w:rsidR="00473802" w:rsidRPr="00473802" w14:paraId="7A39A1AA" w14:textId="77777777" w:rsidTr="00473802">
        <w:trPr>
          <w:trHeight w:val="258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44A49D76"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Edificios,</w:t>
            </w:r>
            <w:r w:rsidRPr="00473802">
              <w:rPr>
                <w:rFonts w:ascii="Arial" w:eastAsia="Times New Roman" w:hAnsi="Arial" w:cs="Arial"/>
                <w:sz w:val="20"/>
                <w:szCs w:val="20"/>
                <w:lang w:val="es-MX" w:eastAsia="es-MX"/>
              </w:rPr>
              <w:t xml:space="preserve"> estructuras, cimientos,  muros de contención, cercas, escaleras externas, patios y otras construcciones separadas de las edificaciones (vías de acceso, caminos y obras de arte en obras civiles todas dentro de predios), construcciones fijas con todas sus adiciones y en general toda clase de construcciones propias y no propias, de edificios e inherentes a ellos, incluidos anexos y mejoras locativas,  instalaciones sanitarias, de agua, sistema de drenaje y aguas negras, tuberías, conductos, desagües, instalaciones eléctricas, electrónicas, de comunicación, para conducción de gas,  y de aire acondicionado, ascensores, instalaciones permanentes, de protección contra incendio, alarmas, cámaras y circuitos cerrados de televisión y demás instalaciones que se hallen o no por debajo del nivel del suelo y/o subterráneas, vidrios internos y externos que conforman y hacen parte de las construcciones, rampas de acceso, tanques de almacenamiento, entre otros ubicados en el territorio nacional, de propiedad de la GOBERNACIÓN o bajo su responsabilidad, tenencia y/o control. </w:t>
            </w:r>
          </w:p>
        </w:tc>
      </w:tr>
      <w:tr w:rsidR="00473802" w:rsidRPr="00473802" w14:paraId="4D3BAFC6" w14:textId="77777777" w:rsidTr="00473802">
        <w:trPr>
          <w:trHeight w:val="133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FFBE2E2"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Mejoras locativas:</w:t>
            </w:r>
            <w:r w:rsidRPr="00473802">
              <w:rPr>
                <w:rFonts w:ascii="Arial" w:eastAsia="Times New Roman" w:hAnsi="Arial" w:cs="Arial"/>
                <w:color w:val="000000"/>
                <w:sz w:val="20"/>
                <w:szCs w:val="20"/>
                <w:lang w:val="es-MX" w:eastAsia="es-MX"/>
              </w:rPr>
              <w:t xml:space="preserve"> Todas aquellas mejoras a los inmuebles realizadas por la GOBERNACIÓN DE SUCRE, aún en el caso de que la misma no sea propietaria, para adecuarlos a sus necesidades, tales como alfombras, tapetes, cortinas, divisiones modulares, tapizados, enchapes, mejoras eléctricas, cielos rasos,  incluyendo las divisiones internas de que estén dotadas las edificaciones, etc.</w:t>
            </w:r>
            <w:r w:rsidRPr="00473802">
              <w:rPr>
                <w:rFonts w:ascii="Arial" w:eastAsia="Times New Roman" w:hAnsi="Arial" w:cs="Arial"/>
                <w:b/>
                <w:bCs/>
                <w:color w:val="000000"/>
                <w:sz w:val="20"/>
                <w:szCs w:val="20"/>
                <w:lang w:val="es-MX" w:eastAsia="es-MX"/>
              </w:rPr>
              <w:t xml:space="preserve"> </w:t>
            </w:r>
          </w:p>
        </w:tc>
      </w:tr>
      <w:tr w:rsidR="00473802" w:rsidRPr="00473802" w14:paraId="0E2DB1F5" w14:textId="77777777" w:rsidTr="00473802">
        <w:trPr>
          <w:trHeight w:val="1902"/>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5D31733"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Muebles y enseres </w:t>
            </w:r>
            <w:r w:rsidRPr="00473802">
              <w:rPr>
                <w:rFonts w:ascii="Arial" w:eastAsia="Times New Roman" w:hAnsi="Arial" w:cs="Arial"/>
                <w:color w:val="000000"/>
                <w:sz w:val="20"/>
                <w:szCs w:val="20"/>
                <w:lang w:val="es-MX" w:eastAsia="es-MX"/>
              </w:rPr>
              <w:t>(no electrónicos), que comprende entre otros, los muebles, escritorios, sillas, enseres, estantes y equipos de las diferentes dependencias del establecimiento asegurado,  sistemas de seguridad de toda clase, herramientas y accesorios, equipos y máquinas para oficina, contabilidad y dibujo, útiles de escritorio y papelería, libros de bibliotecas, estudio, documentos, artículos decorativos, de ornamentación, planos, documentos, archivo en general, libros, bibliotecas, manuscritos, instalaciones de cableado estructurado ubicadas dentro de los predios del asegurado, instalaciones eléctricas, vehículos en reposo y en general los demás similares aunque no se hayan determinado específicamente, de propiedad del asegurado o por los cuales sea responsable.</w:t>
            </w:r>
          </w:p>
        </w:tc>
      </w:tr>
      <w:tr w:rsidR="00473802" w:rsidRPr="00473802" w14:paraId="3FC30B31" w14:textId="77777777" w:rsidTr="00473802">
        <w:trPr>
          <w:trHeight w:val="276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A10C0D9"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Equipo y maquinaría en general, </w:t>
            </w:r>
            <w:r w:rsidRPr="00473802">
              <w:rPr>
                <w:rFonts w:ascii="Arial" w:eastAsia="Times New Roman" w:hAnsi="Arial" w:cs="Arial"/>
                <w:color w:val="000000"/>
                <w:sz w:val="20"/>
                <w:szCs w:val="20"/>
                <w:lang w:val="es-MX" w:eastAsia="es-MX"/>
              </w:rPr>
              <w:t>se entiende como tal toda la maquinaria, equipos, accesorios, herramientas, propios y complementarios de la actividad desarrollada por el asegurado, aire acondicionado, ascensores, bombas y equipos del sistema hidráulico, de combustibles y similares que correspondan a maquinaria; calderas, compresores de aire; equipo del casino, equipos de manejo de basuras, equipos móviles para extinción de incendios; equipos para manejo y movilización de materiales, extractores de olores, generadores, grúas, herramientas, malacates, de servicio, transformadores, estaciones y subestaciones eléctricas, plantas eléctricas, motobombas;  de cargue y descargue; motores de control de puertas o sitios de acceso, plantas de tratamiento, plantas eléctricas, sistemas de drenaje de aguas negras, sistemas de generación y redes para transmisión de energía, sistemas de almacenamiento y distribución de agua, en general todo elemento correspondiente a maquinaria, herramienta y equipo, aunque no se haya determinado específicamente, de propiedad del asegurado o por los cuales sea responsable</w:t>
            </w:r>
          </w:p>
        </w:tc>
      </w:tr>
      <w:tr w:rsidR="00473802" w:rsidRPr="00473802" w14:paraId="327D1259" w14:textId="77777777" w:rsidTr="00473802">
        <w:trPr>
          <w:trHeight w:val="529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8911FC8"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lastRenderedPageBreak/>
              <w:t xml:space="preserve">Equipos eléctricos y electrónicos, </w:t>
            </w:r>
            <w:r w:rsidRPr="00473802">
              <w:rPr>
                <w:rFonts w:ascii="Arial" w:eastAsia="Times New Roman" w:hAnsi="Arial" w:cs="Arial"/>
                <w:color w:val="000000"/>
                <w:sz w:val="20"/>
                <w:szCs w:val="20"/>
                <w:lang w:val="es-MX" w:eastAsia="es-MX"/>
              </w:rPr>
              <w:t>tales como equipos de tecnologías de la información y las telecomunicaciones, equipos de computo con todos sus accesorios y equipos periféricos (CPU, pantallas, teclado, monitores, mouse, reguladores de voltaje, impresoras, scanner, servidores, redes lógicas); computadores portátiles; así mismo fotocopiadoras, equipos de comunicación e intercomunicación (teléfonos, teléfonos de pago, teléfonos inalámbricos, teléfonos celulares, contestadores automáticos, fax), equipos de oficina (máquinas de escribir eléctricas y electrónicas, calculadoras de sobremesa y de bolsillo); equipos de laboratorio, de ingeniería, de investigación, audiovisuales, pedagógicos y equipos protectores para todos éstos aparatos; de alumbrado, (luminarias, lámparas fluorescentes, lámparas de descarga de alta intensidad, incluidas las lámparas de sodio de alta presión y las lámparas de haluros metálicos, lámparas de sodio de baja presión,  lámparas de filamentos); herramientas eléctricas y electrónicas (taladradoras, sierras, máquinas de coser); juguetes (trenes eléctricos, coches de carreras en pista eléctrica, consolas portátiles, videojuegos); materiales médicos, (aparatos de radioterapia, cardiología, diálisis, ventiladores pulmonares, medicina nuclear, aparatos de laboratorio para diagnóstico in vitro, analizadores, congeladores); instrumentos de mando y control (detector de humos, reguladores de calefacción, termostatos); máquinas expendedoras (de bebidas, de productos sólidos, de botellas o latas frías o caliente); aparatos electrónicos de consumo (radios, reproductores de sonido y/o de video, televisores, videocámaras, equipos de audio, vídeos, cadenas de alta fidelidad, amplificadores de sonido, instrumentos musicales); electrodomésticos (neveras, frigoríficos, congeladores, lavadoras, secadoras, lavavajillas, cocinas, hornos eléctricos, hornos de microondas, aparatos de calefacción, calentadores eléctricos, ventiladores eléctricos, aparatos de aire acondicionado, aspiradoras, planchas, tostadoras, freidoras, molinillos de café, máquinas de afeitar, relojes, balanzas, secadores para el cabello, cuchillos eléctricos, cafeteras); y en general aquellos aparatos que el asegurado designe como eléctricos y electrónicos, incluyendo equipos electrónicos y/o procesadores de datos de la maquinaria y los equipos, que los comanden y/o controlen, equipo propio y complementario de la actividad desarrollada por el asegurado, aunque no se hayan mencionado específicamente, de su propiedad o por los cuales sea legalmente responsable.</w:t>
            </w:r>
          </w:p>
        </w:tc>
      </w:tr>
      <w:tr w:rsidR="00473802" w:rsidRPr="00473802" w14:paraId="401CD12E" w14:textId="77777777" w:rsidTr="00473802">
        <w:trPr>
          <w:trHeight w:val="79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335C03F"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Dineros y títulos valores, </w:t>
            </w:r>
            <w:r w:rsidRPr="00473802">
              <w:rPr>
                <w:rFonts w:ascii="Arial" w:eastAsia="Times New Roman" w:hAnsi="Arial" w:cs="Arial"/>
                <w:color w:val="000000"/>
                <w:sz w:val="20"/>
                <w:szCs w:val="20"/>
                <w:lang w:val="es-MX" w:eastAsia="es-MX"/>
              </w:rPr>
              <w:t>monedas, cheques, bonos, joyas, artículos preciosos, documentos negociables dentro y fuera de caja fuerte en predios del asegurado, dentro y fuera de de cofres, cajas fuertes y bóvedas.</w:t>
            </w:r>
          </w:p>
        </w:tc>
      </w:tr>
      <w:tr w:rsidR="00473802" w:rsidRPr="00473802" w14:paraId="6D15B5E2" w14:textId="77777777" w:rsidTr="00473802">
        <w:trPr>
          <w:trHeight w:val="240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C91B691"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Elementos de almacén e inventarios: se entienden como tales, los elementos de consumo, devolutivos nuevos, recuperables, inservibles, papelería, útiles de oficina, equipos en general, repuestos y demás bienes  y/o de almacén, contenidos en las diferentes dependencias de la GOBERNACIÓN DE SUCRE, incluido material de empaque y de consumo tales como suministros, lubricantes, aceites, gases, combustibles, productos terminados, elementos de almacén tales como repuestos, herramientas, partes y piezas para maquinaria, dotación para empleados, muestras de los oferentes que envían a la entidad dentro de los procesos de contratación y suministro, entre otros de calzado, vestuario y similares, los cuales estén bajo responsabilidad de la entidad, y en general todo elemento que el asegurado determine como existencias o elementos de almacén, aunque no se hayan determinado específicamente, de su propiedad o por los cuales sea responsable.</w:t>
            </w:r>
          </w:p>
        </w:tc>
      </w:tr>
      <w:tr w:rsidR="00473802" w:rsidRPr="00473802" w14:paraId="2785C7AC" w14:textId="77777777" w:rsidTr="00473802">
        <w:trPr>
          <w:trHeight w:val="765"/>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74EF9DCD" w14:textId="77777777" w:rsidR="00473802" w:rsidRPr="00473802" w:rsidRDefault="00473802" w:rsidP="00473802">
            <w:pPr>
              <w:jc w:val="both"/>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t>4. Bienes e intereses excluidos</w:t>
            </w:r>
          </w:p>
        </w:tc>
      </w:tr>
      <w:tr w:rsidR="00473802" w:rsidRPr="00473802" w14:paraId="74ED4DD4" w14:textId="77777777" w:rsidTr="00473802">
        <w:trPr>
          <w:trHeight w:val="174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5249D13F" w14:textId="77777777" w:rsidR="00473802" w:rsidRPr="00473802" w:rsidRDefault="00473802" w:rsidP="00473802">
            <w:pPr>
              <w:jc w:val="both"/>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En materia de riesgos excluidos la GOBERNACIÓN DE SUCRE acepta únicamente los expresamente mencionados como exclusiones absolutas de cobertura las que figuran en el texto del condicionado general depositado por la aseguradora en la Superintendencia Financiera con anterioridad no inferior a quince (15) días hábiles al cierre del proceso. Serán válidas las exclusiones relativas consignadas en los mencionados condicionados generales solo cuando no contradigan las condiciones técnicas básicas habilitantes del presente proceso, en cuyo caso prevalecerán las condiciones técnicas básicas habilitantes.</w:t>
            </w:r>
          </w:p>
        </w:tc>
      </w:tr>
      <w:tr w:rsidR="00473802" w:rsidRPr="00473802" w14:paraId="0F23A5BD"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4ECFA617" w14:textId="77777777" w:rsidR="00473802" w:rsidRPr="00473802" w:rsidRDefault="00473802" w:rsidP="00473802">
            <w:pPr>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lastRenderedPageBreak/>
              <w:t>5. Bienes y valores asegurados (pesos colombianos)</w:t>
            </w:r>
          </w:p>
        </w:tc>
      </w:tr>
      <w:tr w:rsidR="00473802" w:rsidRPr="00473802" w14:paraId="5D748DCD" w14:textId="77777777" w:rsidTr="00473802">
        <w:trPr>
          <w:trHeight w:val="54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599EDEB" w14:textId="77777777" w:rsidR="00473802" w:rsidRPr="00473802" w:rsidRDefault="00473802" w:rsidP="00473802">
            <w:pPr>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Bienes asegurados</w:t>
            </w:r>
          </w:p>
        </w:tc>
        <w:tc>
          <w:tcPr>
            <w:tcW w:w="0" w:type="auto"/>
            <w:tcBorders>
              <w:top w:val="nil"/>
              <w:left w:val="nil"/>
              <w:bottom w:val="single" w:sz="4" w:space="0" w:color="auto"/>
              <w:right w:val="single" w:sz="4" w:space="0" w:color="auto"/>
            </w:tcBorders>
            <w:shd w:val="clear" w:color="000000" w:fill="FFFFFF"/>
            <w:vAlign w:val="center"/>
            <w:hideMark/>
          </w:tcPr>
          <w:p w14:paraId="5D493B4B" w14:textId="77777777" w:rsidR="00473802" w:rsidRPr="00473802" w:rsidRDefault="00473802" w:rsidP="00473802">
            <w:pPr>
              <w:jc w:val="center"/>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Valores asegurados</w:t>
            </w:r>
          </w:p>
        </w:tc>
      </w:tr>
      <w:tr w:rsidR="00473802" w:rsidRPr="00473802" w14:paraId="120B4EEB" w14:textId="77777777" w:rsidTr="00473802">
        <w:trPr>
          <w:trHeight w:val="25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5B70DE58" w14:textId="46E93398"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Bienes ( VER ANEXO 1)</w:t>
            </w:r>
          </w:p>
        </w:tc>
        <w:tc>
          <w:tcPr>
            <w:tcW w:w="0" w:type="auto"/>
            <w:tcBorders>
              <w:top w:val="nil"/>
              <w:left w:val="nil"/>
              <w:bottom w:val="nil"/>
              <w:right w:val="single" w:sz="4" w:space="0" w:color="auto"/>
            </w:tcBorders>
            <w:vAlign w:val="center"/>
            <w:hideMark/>
          </w:tcPr>
          <w:p w14:paraId="140EACE3" w14:textId="77777777" w:rsidR="00473802" w:rsidRPr="00473802" w:rsidRDefault="00473802" w:rsidP="00473802">
            <w:pPr>
              <w:jc w:val="center"/>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w:t>
            </w:r>
          </w:p>
        </w:tc>
      </w:tr>
      <w:tr w:rsidR="00473802" w:rsidRPr="00473802" w14:paraId="2FED504E" w14:textId="77777777" w:rsidTr="00473802">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DF47AA"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5.1. Edificio incluidas Mejoras locativas</w:t>
            </w:r>
          </w:p>
        </w:tc>
        <w:tc>
          <w:tcPr>
            <w:tcW w:w="0" w:type="auto"/>
            <w:tcBorders>
              <w:top w:val="single" w:sz="4" w:space="0" w:color="auto"/>
              <w:left w:val="nil"/>
              <w:bottom w:val="single" w:sz="4" w:space="0" w:color="auto"/>
              <w:right w:val="single" w:sz="4" w:space="0" w:color="auto"/>
            </w:tcBorders>
            <w:noWrap/>
            <w:vAlign w:val="center"/>
            <w:hideMark/>
          </w:tcPr>
          <w:p w14:paraId="4ECD2ABC" w14:textId="65A238B1" w:rsidR="00473802" w:rsidRPr="00473802" w:rsidRDefault="00473802" w:rsidP="00CA052F">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w:t>
            </w:r>
            <w:r w:rsidR="005B44E7" w:rsidRPr="005B44E7">
              <w:rPr>
                <w:rFonts w:ascii="Arial" w:eastAsia="Times New Roman" w:hAnsi="Arial" w:cs="Arial"/>
                <w:color w:val="000000"/>
                <w:sz w:val="20"/>
                <w:szCs w:val="20"/>
                <w:lang w:val="es-MX" w:eastAsia="es-MX"/>
              </w:rPr>
              <w:t>32.189.040.540,43</w:t>
            </w:r>
          </w:p>
        </w:tc>
      </w:tr>
      <w:tr w:rsidR="00473802" w:rsidRPr="00473802" w14:paraId="26822263" w14:textId="77777777" w:rsidTr="00473802">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E8A4A"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5.2. Muebles y enseres.</w:t>
            </w:r>
          </w:p>
        </w:tc>
        <w:tc>
          <w:tcPr>
            <w:tcW w:w="0" w:type="auto"/>
            <w:tcBorders>
              <w:top w:val="nil"/>
              <w:left w:val="nil"/>
              <w:bottom w:val="single" w:sz="4" w:space="0" w:color="auto"/>
              <w:right w:val="single" w:sz="4" w:space="0" w:color="auto"/>
            </w:tcBorders>
            <w:noWrap/>
            <w:vAlign w:val="center"/>
            <w:hideMark/>
          </w:tcPr>
          <w:p w14:paraId="1A7C1D70" w14:textId="77777777" w:rsidR="00473802" w:rsidRPr="00473802" w:rsidRDefault="00473802" w:rsidP="00CA052F">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662,542,601 </w:t>
            </w:r>
          </w:p>
        </w:tc>
      </w:tr>
      <w:tr w:rsidR="00473802" w:rsidRPr="00473802" w14:paraId="23D685E6" w14:textId="77777777" w:rsidTr="00473802">
        <w:trPr>
          <w:trHeight w:val="255"/>
        </w:trPr>
        <w:tc>
          <w:tcPr>
            <w:tcW w:w="0" w:type="auto"/>
            <w:tcBorders>
              <w:top w:val="nil"/>
              <w:left w:val="single" w:sz="4" w:space="0" w:color="auto"/>
              <w:bottom w:val="single" w:sz="4" w:space="0" w:color="auto"/>
              <w:right w:val="single" w:sz="4" w:space="0" w:color="auto"/>
            </w:tcBorders>
            <w:vAlign w:val="center"/>
            <w:hideMark/>
          </w:tcPr>
          <w:p w14:paraId="696DFB7E" w14:textId="203E3B64"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5,4. Corriente Debil (Electronicos</w:t>
            </w:r>
            <w:r w:rsidR="00B55E63">
              <w:rPr>
                <w:rFonts w:ascii="Arial" w:eastAsia="Times New Roman" w:hAnsi="Arial" w:cs="Arial"/>
                <w:color w:val="000000"/>
                <w:sz w:val="20"/>
                <w:szCs w:val="20"/>
                <w:lang w:val="es-MX" w:eastAsia="es-MX"/>
              </w:rPr>
              <w:t>)</w:t>
            </w:r>
          </w:p>
        </w:tc>
        <w:tc>
          <w:tcPr>
            <w:tcW w:w="0" w:type="auto"/>
            <w:tcBorders>
              <w:top w:val="nil"/>
              <w:left w:val="nil"/>
              <w:bottom w:val="single" w:sz="4" w:space="0" w:color="auto"/>
              <w:right w:val="single" w:sz="4" w:space="0" w:color="auto"/>
            </w:tcBorders>
            <w:vAlign w:val="center"/>
            <w:hideMark/>
          </w:tcPr>
          <w:p w14:paraId="3B55EE36"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w:t>
            </w:r>
          </w:p>
        </w:tc>
        <w:tc>
          <w:tcPr>
            <w:tcW w:w="0" w:type="auto"/>
            <w:tcBorders>
              <w:top w:val="nil"/>
              <w:left w:val="nil"/>
              <w:bottom w:val="single" w:sz="4" w:space="0" w:color="auto"/>
              <w:right w:val="single" w:sz="4" w:space="0" w:color="auto"/>
            </w:tcBorders>
            <w:noWrap/>
            <w:vAlign w:val="center"/>
            <w:hideMark/>
          </w:tcPr>
          <w:p w14:paraId="6AA0547F" w14:textId="77777777" w:rsidR="00473802" w:rsidRPr="00473802" w:rsidRDefault="00473802" w:rsidP="00CA052F">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1,067,417,500 </w:t>
            </w:r>
          </w:p>
        </w:tc>
      </w:tr>
      <w:tr w:rsidR="00473802" w:rsidRPr="00473802" w14:paraId="4B13FFF0" w14:textId="77777777" w:rsidTr="00473802">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DB8265"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5.5. Rotura de Maquinaria (Electricos )</w:t>
            </w:r>
          </w:p>
        </w:tc>
        <w:tc>
          <w:tcPr>
            <w:tcW w:w="0" w:type="auto"/>
            <w:tcBorders>
              <w:top w:val="nil"/>
              <w:left w:val="nil"/>
              <w:bottom w:val="single" w:sz="4" w:space="0" w:color="auto"/>
              <w:right w:val="single" w:sz="4" w:space="0" w:color="auto"/>
            </w:tcBorders>
            <w:noWrap/>
            <w:vAlign w:val="center"/>
            <w:hideMark/>
          </w:tcPr>
          <w:p w14:paraId="3B266596" w14:textId="77777777" w:rsidR="00473802" w:rsidRPr="00473802" w:rsidRDefault="00473802" w:rsidP="00CA052F">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1,071,333,703 </w:t>
            </w:r>
          </w:p>
        </w:tc>
      </w:tr>
      <w:tr w:rsidR="00473802" w:rsidRPr="00473802" w14:paraId="65542FA9" w14:textId="77777777" w:rsidTr="00473802">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E68DC"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5.7. Dineros y títulos valores</w:t>
            </w:r>
          </w:p>
        </w:tc>
        <w:tc>
          <w:tcPr>
            <w:tcW w:w="0" w:type="auto"/>
            <w:tcBorders>
              <w:top w:val="nil"/>
              <w:left w:val="nil"/>
              <w:bottom w:val="single" w:sz="4" w:space="0" w:color="auto"/>
              <w:right w:val="single" w:sz="4" w:space="0" w:color="auto"/>
            </w:tcBorders>
            <w:noWrap/>
            <w:vAlign w:val="center"/>
            <w:hideMark/>
          </w:tcPr>
          <w:p w14:paraId="3019B57C" w14:textId="77777777" w:rsidR="00473802" w:rsidRPr="00473802" w:rsidRDefault="00473802" w:rsidP="00CA052F">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200·000.000 </w:t>
            </w:r>
          </w:p>
        </w:tc>
      </w:tr>
      <w:tr w:rsidR="00473802" w:rsidRPr="00473802" w14:paraId="286F926D" w14:textId="77777777" w:rsidTr="00473802">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B54986"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5,8. Cobertura para Vacunas (Ver Anexo)</w:t>
            </w:r>
          </w:p>
        </w:tc>
        <w:tc>
          <w:tcPr>
            <w:tcW w:w="0" w:type="auto"/>
            <w:tcBorders>
              <w:top w:val="nil"/>
              <w:left w:val="nil"/>
              <w:bottom w:val="single" w:sz="4" w:space="0" w:color="auto"/>
              <w:right w:val="single" w:sz="4" w:space="0" w:color="auto"/>
            </w:tcBorders>
            <w:noWrap/>
            <w:vAlign w:val="center"/>
            <w:hideMark/>
          </w:tcPr>
          <w:p w14:paraId="6AD27F6E" w14:textId="77777777" w:rsidR="00473802" w:rsidRPr="00473802" w:rsidRDefault="00473802" w:rsidP="00CA052F">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1,500,000,000 </w:t>
            </w:r>
          </w:p>
        </w:tc>
      </w:tr>
      <w:tr w:rsidR="00473802" w:rsidRPr="00473802" w14:paraId="39EB4ED7" w14:textId="77777777" w:rsidTr="00473802">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5135FD"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5,9. Equipos de Conservacion de Vacunas (Ver Anexo)</w:t>
            </w:r>
          </w:p>
        </w:tc>
        <w:tc>
          <w:tcPr>
            <w:tcW w:w="0" w:type="auto"/>
            <w:tcBorders>
              <w:top w:val="nil"/>
              <w:left w:val="nil"/>
              <w:bottom w:val="single" w:sz="4" w:space="0" w:color="auto"/>
              <w:right w:val="single" w:sz="4" w:space="0" w:color="auto"/>
            </w:tcBorders>
            <w:noWrap/>
            <w:vAlign w:val="center"/>
            <w:hideMark/>
          </w:tcPr>
          <w:p w14:paraId="5591154F" w14:textId="77777777" w:rsidR="00473802" w:rsidRPr="00473802" w:rsidRDefault="00473802" w:rsidP="00CA052F">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150,000,000 </w:t>
            </w:r>
          </w:p>
        </w:tc>
      </w:tr>
      <w:tr w:rsidR="00473802" w:rsidRPr="00473802" w14:paraId="057C5C00" w14:textId="77777777" w:rsidTr="00473802">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33C7177" w14:textId="77777777" w:rsidR="00473802" w:rsidRPr="00473802" w:rsidRDefault="00473802" w:rsidP="00473802">
            <w:pPr>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0D9902A"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w:t>
            </w:r>
          </w:p>
        </w:tc>
      </w:tr>
      <w:tr w:rsidR="00473802" w:rsidRPr="00473802" w14:paraId="13826122"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0EE21D15" w14:textId="77777777" w:rsidR="00473802" w:rsidRPr="00473802" w:rsidRDefault="00473802" w:rsidP="00473802">
            <w:pPr>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t>6. Coberturas sublimitadas (evento y en el agregado anual)</w:t>
            </w:r>
          </w:p>
        </w:tc>
      </w:tr>
      <w:tr w:rsidR="00473802" w:rsidRPr="00473802" w14:paraId="09332280" w14:textId="77777777" w:rsidTr="00473802">
        <w:trPr>
          <w:trHeight w:val="66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BD5192A"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Con excepción de las condiciones y/o coberturas específicamente sublimitadas en el presente numeral, todas las demás coberturas y/o condiciones operarán al 100% del valor asegurado.</w:t>
            </w:r>
          </w:p>
        </w:tc>
      </w:tr>
      <w:tr w:rsidR="00473802" w:rsidRPr="00473802" w14:paraId="05F453F3"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9BF2B7F" w14:textId="77777777" w:rsidR="00473802" w:rsidRPr="00473802" w:rsidRDefault="00473802" w:rsidP="00473802">
            <w:pPr>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Amparo - Cobertura </w:t>
            </w:r>
          </w:p>
        </w:tc>
      </w:tr>
      <w:tr w:rsidR="00473802" w:rsidRPr="00473802" w14:paraId="409CC69F" w14:textId="77777777" w:rsidTr="00473802">
        <w:trPr>
          <w:trHeight w:val="84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453638"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Asonada, motín, conmoción civil o popular, huelga, vandalismo, actos mal intencionados de terceros, incluidos los actos terroristas cometidos por personas o grupos/movimientos al margen de la ley. (AMIT, HAMCCo P)</w:t>
            </w:r>
          </w:p>
        </w:tc>
        <w:tc>
          <w:tcPr>
            <w:tcW w:w="0" w:type="auto"/>
            <w:tcBorders>
              <w:top w:val="nil"/>
              <w:left w:val="nil"/>
              <w:bottom w:val="single" w:sz="4" w:space="0" w:color="auto"/>
              <w:right w:val="single" w:sz="4" w:space="0" w:color="auto"/>
            </w:tcBorders>
            <w:vAlign w:val="center"/>
            <w:hideMark/>
          </w:tcPr>
          <w:p w14:paraId="3F3DCAE0" w14:textId="77777777" w:rsidR="00473802" w:rsidRPr="00473802" w:rsidRDefault="00473802" w:rsidP="00473802">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Cobertura al 100%</w:t>
            </w:r>
          </w:p>
        </w:tc>
      </w:tr>
      <w:tr w:rsidR="00473802" w:rsidRPr="00473802" w14:paraId="2FA9A3D5" w14:textId="77777777" w:rsidTr="00473802">
        <w:trPr>
          <w:trHeight w:val="67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7C9408"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Cobertura para vidrios interiores y exteriores, rotura accidental o como consecuencia de daños incluyendo AMIT, HAMCCo P (Incluido Terrorismo).</w:t>
            </w:r>
          </w:p>
        </w:tc>
        <w:tc>
          <w:tcPr>
            <w:tcW w:w="0" w:type="auto"/>
            <w:tcBorders>
              <w:top w:val="nil"/>
              <w:left w:val="nil"/>
              <w:bottom w:val="single" w:sz="4" w:space="0" w:color="auto"/>
              <w:right w:val="single" w:sz="4" w:space="0" w:color="auto"/>
            </w:tcBorders>
            <w:shd w:val="clear" w:color="000000" w:fill="FFFFFF"/>
            <w:vAlign w:val="center"/>
            <w:hideMark/>
          </w:tcPr>
          <w:p w14:paraId="1B47E1AE" w14:textId="77777777" w:rsidR="00473802" w:rsidRPr="00473802" w:rsidRDefault="00473802" w:rsidP="00473802">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$ 1,100,000,000 </w:t>
            </w:r>
          </w:p>
        </w:tc>
      </w:tr>
      <w:tr w:rsidR="00473802" w:rsidRPr="00473802" w14:paraId="0450B507" w14:textId="77777777" w:rsidTr="00473802">
        <w:trPr>
          <w:trHeight w:val="5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FEF122"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Hurto calificado para equipos móviles y/o portátiles fuera de los predios del asegurado, incluidos los movilizados al exterior.</w:t>
            </w:r>
          </w:p>
        </w:tc>
        <w:tc>
          <w:tcPr>
            <w:tcW w:w="0" w:type="auto"/>
            <w:tcBorders>
              <w:top w:val="nil"/>
              <w:left w:val="nil"/>
              <w:bottom w:val="single" w:sz="4" w:space="0" w:color="auto"/>
              <w:right w:val="single" w:sz="4" w:space="0" w:color="auto"/>
            </w:tcBorders>
            <w:shd w:val="clear" w:color="000000" w:fill="FFFFFF"/>
            <w:vAlign w:val="center"/>
            <w:hideMark/>
          </w:tcPr>
          <w:p w14:paraId="64755527" w14:textId="77777777" w:rsidR="00473802" w:rsidRPr="00473802" w:rsidRDefault="00473802" w:rsidP="00473802">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$ 1,000,000,000 </w:t>
            </w:r>
          </w:p>
        </w:tc>
      </w:tr>
      <w:tr w:rsidR="00473802" w:rsidRPr="00473802" w14:paraId="7A95E6B1" w14:textId="77777777" w:rsidTr="00473802">
        <w:trPr>
          <w:trHeight w:val="67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D8AB0" w14:textId="77777777" w:rsidR="00473802" w:rsidRPr="00473802" w:rsidRDefault="00473802" w:rsidP="00473802">
            <w:pPr>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Hurto calificado para los demás bienes</w:t>
            </w:r>
          </w:p>
        </w:tc>
        <w:tc>
          <w:tcPr>
            <w:tcW w:w="0" w:type="auto"/>
            <w:tcBorders>
              <w:top w:val="nil"/>
              <w:left w:val="nil"/>
              <w:bottom w:val="single" w:sz="4" w:space="0" w:color="auto"/>
              <w:right w:val="single" w:sz="4" w:space="0" w:color="auto"/>
            </w:tcBorders>
            <w:shd w:val="clear" w:color="000000" w:fill="FFFFFF"/>
            <w:vAlign w:val="center"/>
            <w:hideMark/>
          </w:tcPr>
          <w:p w14:paraId="7EFE3DCD" w14:textId="77777777" w:rsidR="00473802" w:rsidRPr="00473802" w:rsidRDefault="00473802" w:rsidP="00473802">
            <w:pPr>
              <w:jc w:val="right"/>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Cobertura al 100%</w:t>
            </w:r>
          </w:p>
        </w:tc>
      </w:tr>
      <w:tr w:rsidR="00473802" w:rsidRPr="00473802" w14:paraId="2A897D38" w14:textId="77777777" w:rsidTr="00473802">
        <w:trPr>
          <w:trHeight w:val="67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01301" w14:textId="77777777" w:rsidR="00473802" w:rsidRPr="00473802" w:rsidRDefault="00473802" w:rsidP="00473802">
            <w:pPr>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Hurto simple para equipos móviles y/o portátiles fuera de los predios del asegurado incluidos los movilizados al exterior. </w:t>
            </w:r>
          </w:p>
        </w:tc>
        <w:tc>
          <w:tcPr>
            <w:tcW w:w="0" w:type="auto"/>
            <w:tcBorders>
              <w:top w:val="nil"/>
              <w:left w:val="nil"/>
              <w:bottom w:val="single" w:sz="4" w:space="0" w:color="auto"/>
              <w:right w:val="single" w:sz="4" w:space="0" w:color="auto"/>
            </w:tcBorders>
            <w:shd w:val="clear" w:color="000000" w:fill="FFFFFF"/>
            <w:vAlign w:val="center"/>
            <w:hideMark/>
          </w:tcPr>
          <w:p w14:paraId="5AA5ED32" w14:textId="77777777" w:rsidR="00473802" w:rsidRPr="00473802" w:rsidRDefault="00473802" w:rsidP="00473802">
            <w:pPr>
              <w:jc w:val="right"/>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 xml:space="preserve">$ 650,000,000 </w:t>
            </w:r>
          </w:p>
        </w:tc>
      </w:tr>
      <w:tr w:rsidR="00473802" w:rsidRPr="00473802" w14:paraId="548F49AB" w14:textId="77777777" w:rsidTr="00473802">
        <w:trPr>
          <w:trHeight w:val="45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958FF4" w14:textId="77777777" w:rsidR="00473802" w:rsidRPr="00473802" w:rsidRDefault="00473802" w:rsidP="00473802">
            <w:pPr>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Hurto simple para los demás bienes</w:t>
            </w:r>
          </w:p>
        </w:tc>
        <w:tc>
          <w:tcPr>
            <w:tcW w:w="0" w:type="auto"/>
            <w:tcBorders>
              <w:top w:val="nil"/>
              <w:left w:val="nil"/>
              <w:bottom w:val="single" w:sz="4" w:space="0" w:color="auto"/>
              <w:right w:val="single" w:sz="4" w:space="0" w:color="auto"/>
            </w:tcBorders>
            <w:shd w:val="clear" w:color="000000" w:fill="FFFFFF"/>
            <w:vAlign w:val="center"/>
            <w:hideMark/>
          </w:tcPr>
          <w:p w14:paraId="3FC06FD6" w14:textId="77777777" w:rsidR="00473802" w:rsidRPr="00473802" w:rsidRDefault="00473802" w:rsidP="00473802">
            <w:pPr>
              <w:jc w:val="right"/>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Cobertura al 50%</w:t>
            </w:r>
          </w:p>
        </w:tc>
      </w:tr>
      <w:tr w:rsidR="00473802" w:rsidRPr="00473802" w14:paraId="5660E8AE" w14:textId="77777777" w:rsidTr="00473802">
        <w:trPr>
          <w:trHeight w:val="705"/>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180A18AA" w14:textId="77777777" w:rsidR="00473802" w:rsidRPr="00473802" w:rsidRDefault="00473802" w:rsidP="00473802">
            <w:pPr>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t>7. Cláusulas y condiciones adicionales.</w:t>
            </w:r>
          </w:p>
        </w:tc>
      </w:tr>
      <w:tr w:rsidR="00473802" w:rsidRPr="00473802" w14:paraId="3590DBF4" w14:textId="77777777" w:rsidTr="00473802">
        <w:trPr>
          <w:trHeight w:val="82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5ECB3A85" w14:textId="77777777" w:rsidR="00473802" w:rsidRPr="00473802" w:rsidRDefault="00473802" w:rsidP="00473802">
            <w:pPr>
              <w:jc w:val="both"/>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Para aquellas cláusulas y/o condiciones adicionales para las que no se indique sublímite se entenderá que estas operan al 100%. Para las coberturas que indiquen sublímite se entenderá que operan por evento/vigencia.</w:t>
            </w:r>
          </w:p>
        </w:tc>
      </w:tr>
      <w:tr w:rsidR="00473802" w:rsidRPr="00473802" w14:paraId="38114BA8" w14:textId="77777777" w:rsidTr="00473802">
        <w:trPr>
          <w:trHeight w:val="136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152FF1A"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Cláusula de aplicación de condiciones particulares. </w:t>
            </w:r>
            <w:r w:rsidRPr="00473802">
              <w:rPr>
                <w:rFonts w:ascii="Arial" w:eastAsia="Times New Roman" w:hAnsi="Arial" w:cs="Arial"/>
                <w:color w:val="000000"/>
                <w:sz w:val="20"/>
                <w:szCs w:val="20"/>
                <w:lang w:val="es-MX" w:eastAsia="es-MX"/>
              </w:rPr>
              <w:t>Queda expresamente acordado y convenido, que el oferente acepta las condiciones básicas técnicas establecidas en este anexo en los términos señalados en el mismo; por lo tanto, en caso de existir discrepancia entre los ofrecimientos contenidos en las CONDICIONES BASICAS TÉCNICAS OBLIGATORIAS frente a la propuesta, los textos de los ejemplares de las pólizas, certificados, anexos o cualquier otro documento; prevalecerá la información y condiciones enunciadas en las CONDICIONES BASICAS TÉCNICAS OBLIGATORIAS establecidas.</w:t>
            </w:r>
          </w:p>
        </w:tc>
      </w:tr>
      <w:tr w:rsidR="00473802" w:rsidRPr="00473802" w14:paraId="5B70B235" w14:textId="77777777" w:rsidTr="00473802">
        <w:trPr>
          <w:trHeight w:val="111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A904340" w14:textId="19A2213D"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 xml:space="preserve">Actos de autoridad: Cobertura al 100% </w:t>
            </w:r>
            <w:r w:rsidRPr="00473802">
              <w:rPr>
                <w:rFonts w:ascii="Arial" w:eastAsia="Times New Roman" w:hAnsi="Arial" w:cs="Arial"/>
                <w:sz w:val="20"/>
                <w:szCs w:val="20"/>
                <w:lang w:val="es-MX" w:eastAsia="es-MX"/>
              </w:rPr>
              <w:t>La póliza cubre los daños o pérdidas materiales de los bienes asegurados, que tengan por causa o fueren consecuencia de cualquier acto de autoridad legalmente constituida sobre los bienes objeto del seguro y/o ejercida con el fin de disminuir o aminorar las consecuencias de cualquiera de los riesgos amparados por esta póliza, incluyendo los generados por AMIT, Sabotaje y Terrorismo.</w:t>
            </w:r>
            <w:r w:rsidR="007B1DCD">
              <w:rPr>
                <w:rFonts w:ascii="Arial" w:eastAsia="Times New Roman" w:hAnsi="Arial" w:cs="Arial"/>
                <w:sz w:val="20"/>
                <w:szCs w:val="20"/>
                <w:lang w:val="es-MX" w:eastAsia="es-MX"/>
              </w:rPr>
              <w:t xml:space="preserve"> Se excluye los embargos y confiscaciones.</w:t>
            </w:r>
          </w:p>
        </w:tc>
      </w:tr>
      <w:tr w:rsidR="00473802" w:rsidRPr="00473802" w14:paraId="58F2D9DC" w14:textId="77777777" w:rsidTr="00473802">
        <w:trPr>
          <w:trHeight w:val="87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D7191CB"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b/>
                <w:bCs/>
                <w:sz w:val="20"/>
                <w:szCs w:val="20"/>
                <w:lang w:val="es-MX" w:eastAsia="es-MX"/>
              </w:rPr>
              <w:t>Adecuación de suelos y terrenos que lleguen a afectarse como consecuencia de un terremoto</w:t>
            </w:r>
            <w:r w:rsidRPr="00473802">
              <w:rPr>
                <w:rFonts w:ascii="Arial" w:eastAsia="Times New Roman" w:hAnsi="Arial" w:cs="Arial"/>
                <w:sz w:val="20"/>
                <w:szCs w:val="20"/>
                <w:lang w:val="es-MX" w:eastAsia="es-MX"/>
              </w:rPr>
              <w:t>. En caso que por orden de autoridad competente se indique que el inmueble no puede ser habitado por cualquier evento cubierto será indemnizado como una perdida total. Sublimite del 20%</w:t>
            </w:r>
          </w:p>
        </w:tc>
      </w:tr>
      <w:tr w:rsidR="00473802" w:rsidRPr="00473802" w14:paraId="4ED342BA" w14:textId="77777777" w:rsidTr="00473802">
        <w:trPr>
          <w:trHeight w:val="192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79CA0D7" w14:textId="76FAE8A4"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Alquiler de locales y equipos temporales. Sublimite $</w:t>
            </w:r>
            <w:r w:rsidR="00522BAD">
              <w:rPr>
                <w:rFonts w:ascii="Arial" w:eastAsia="Times New Roman" w:hAnsi="Arial" w:cs="Arial"/>
                <w:b/>
                <w:bCs/>
                <w:sz w:val="20"/>
                <w:szCs w:val="20"/>
                <w:lang w:val="es-MX" w:eastAsia="es-MX"/>
              </w:rPr>
              <w:t>10</w:t>
            </w:r>
            <w:r w:rsidRPr="00473802">
              <w:rPr>
                <w:rFonts w:ascii="Arial" w:eastAsia="Times New Roman" w:hAnsi="Arial" w:cs="Arial"/>
                <w:b/>
                <w:bCs/>
                <w:sz w:val="20"/>
                <w:szCs w:val="20"/>
                <w:lang w:val="es-MX" w:eastAsia="es-MX"/>
              </w:rPr>
              <w:t xml:space="preserve">0.000.000 mensuales y por seis (6) meses más. </w:t>
            </w:r>
            <w:r w:rsidRPr="00473802">
              <w:rPr>
                <w:rFonts w:ascii="Arial" w:eastAsia="Times New Roman" w:hAnsi="Arial" w:cs="Arial"/>
                <w:sz w:val="20"/>
                <w:szCs w:val="20"/>
                <w:lang w:val="es-MX" w:eastAsia="es-MX"/>
              </w:rPr>
              <w:t xml:space="preserve">Se amparán en forma automatica, en los mismos terminos y condiciones otorgadas, todo local, sitio sitio o espacio y/o equipo de carácter temporal que el asegurado tome en arriendo, alquiler, cornodato o que se encuentre bajo su control, localizado dentro de los limites territoriales de la República de Colombia, y con los cuales lleve a cabo labores u operaciones propias de las actividades objeto del seguro, siempre y cuando no implique agravación del nesgo. El asegurado se obliga a dar el correspondiente aviso a la compañia de seguros dentro de treinta (30) días comunes siguientes a la fecha del alquiler.  </w:t>
            </w:r>
          </w:p>
        </w:tc>
      </w:tr>
      <w:tr w:rsidR="00473802" w:rsidRPr="00473802" w14:paraId="20B3F543" w14:textId="77777777" w:rsidTr="00473802">
        <w:trPr>
          <w:trHeight w:val="469"/>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3C5B2"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Amparo automático para bienes en ferias, eventos y exposiciones en el territorio nacional, sublímite $50.000.000. </w:t>
            </w:r>
          </w:p>
        </w:tc>
      </w:tr>
      <w:tr w:rsidR="00473802" w:rsidRPr="00473802" w14:paraId="2B213621" w14:textId="77777777" w:rsidTr="00473802">
        <w:trPr>
          <w:trHeight w:val="201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2D4DCA3"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Amparo automático para edificios, contenidos y equipos que por error u omisión no se hayan informado al inicio del seguro. 20% del valor asegurado del edificio. </w:t>
            </w:r>
            <w:r w:rsidRPr="00473802">
              <w:rPr>
                <w:rFonts w:ascii="Arial" w:eastAsia="Times New Roman" w:hAnsi="Arial" w:cs="Arial"/>
                <w:sz w:val="20"/>
                <w:szCs w:val="20"/>
                <w:lang w:val="es-MX" w:eastAsia="es-MX"/>
              </w:rPr>
              <w:t>Queda entendido, convenido y aceptado que en el evento de que el asegurado, por error u omisión, no haya informado bienes muebles o inmuebles al inicio de la cobertura, sobre los cuales éste tuviere interés asegurable; las coberturas y amparos adicionales de esta póliza se extenderán automáticamente a dichos bienes hasta el 20% del valor total asegurado hasta por 90 días. El asegurado está obligado a dar aviso a la Compañía dentro de los 90 días siguientes a la fecha de iniciación de la vigencia de la póliza. La prima adicional se liquidará con base en las tasas contratadas. Si vencido este plazo no se ha informado a la Compañía, cesará el amparo.</w:t>
            </w:r>
          </w:p>
        </w:tc>
      </w:tr>
      <w:tr w:rsidR="00473802" w:rsidRPr="00473802" w14:paraId="3C4FEE62" w14:textId="77777777" w:rsidTr="00473802">
        <w:trPr>
          <w:trHeight w:val="99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4264C75"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Amparo automático por el cambio de ubicación del riesgo. Sublimite $500.000.000. </w:t>
            </w:r>
            <w:r w:rsidRPr="00473802">
              <w:rPr>
                <w:rFonts w:ascii="Arial" w:eastAsia="Times New Roman" w:hAnsi="Arial" w:cs="Arial"/>
                <w:sz w:val="20"/>
                <w:szCs w:val="20"/>
                <w:lang w:val="es-MX" w:eastAsia="es-MX"/>
              </w:rPr>
              <w:t>Queda entendido, convenido y aceptado que en el evento de que uno o varios de los intereses asegurados bajo el presente seguro cambien su ubicación, las coberturas y amparos adicionales de esta póliza se extenderán automáticamente a la nueva ubicación, siempre y cuando se conserven condiciones similares de asegurabilidad respecto del riesgo que los contenía, desde el cual se trasladan. El asegurado está obligado a dar aviso a la Compañía dentro de los treinta (30) días siguientes a la fecha del cambio de ubicación.</w:t>
            </w:r>
          </w:p>
        </w:tc>
      </w:tr>
      <w:tr w:rsidR="00473802" w:rsidRPr="00473802" w14:paraId="7A7C1D41" w14:textId="77777777" w:rsidTr="00473802">
        <w:trPr>
          <w:trHeight w:val="619"/>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179032F"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Amparo para bienes de propiedad del asegurado en predios o bajo la responsabilidad de terceros.</w:t>
            </w:r>
            <w:r w:rsidRPr="00473802">
              <w:rPr>
                <w:rFonts w:ascii="Arial" w:eastAsia="Times New Roman" w:hAnsi="Arial" w:cs="Arial"/>
                <w:sz w:val="20"/>
                <w:szCs w:val="20"/>
                <w:lang w:val="es-MX" w:eastAsia="es-MX"/>
              </w:rPr>
              <w:t xml:space="preserve"> Sublímite $50.000.000</w:t>
            </w:r>
          </w:p>
        </w:tc>
      </w:tr>
      <w:tr w:rsidR="00473802" w:rsidRPr="00473802" w14:paraId="40252B05" w14:textId="77777777" w:rsidTr="00473802">
        <w:trPr>
          <w:trHeight w:val="1392"/>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67B3822"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Amparo para bienes fuera de edificios y/o a la intemperie. </w:t>
            </w:r>
            <w:r w:rsidRPr="00473802">
              <w:rPr>
                <w:rFonts w:ascii="Arial" w:eastAsia="Times New Roman" w:hAnsi="Arial" w:cs="Arial"/>
                <w:sz w:val="20"/>
                <w:szCs w:val="20"/>
                <w:lang w:val="es-MX" w:eastAsia="es-MX"/>
              </w:rPr>
              <w:t xml:space="preserve"> </w:t>
            </w:r>
            <w:r w:rsidRPr="00473802">
              <w:rPr>
                <w:rFonts w:ascii="Arial" w:eastAsia="Times New Roman" w:hAnsi="Arial" w:cs="Arial"/>
                <w:b/>
                <w:bCs/>
                <w:sz w:val="20"/>
                <w:szCs w:val="20"/>
                <w:lang w:val="es-MX" w:eastAsia="es-MX"/>
              </w:rPr>
              <w:t>Sublímite $50.000.000</w:t>
            </w:r>
            <w:r w:rsidRPr="00473802">
              <w:rPr>
                <w:rFonts w:ascii="Arial" w:eastAsia="Times New Roman" w:hAnsi="Arial" w:cs="Arial"/>
                <w:sz w:val="20"/>
                <w:szCs w:val="20"/>
                <w:lang w:val="es-MX" w:eastAsia="es-MX"/>
              </w:rPr>
              <w:t xml:space="preserve">. El Oferente debe contemplar bajo esta cobertura, que el seguro también se extiende a amparar los bienes descritos en ella cuando, auque encontrándose dentro de los predios del asegurado, se encuentran fuera de los edificios, dentro de vehículos transportadores o en vehículos propios. Esta condición aplica para los bienes que por su naturaleza, uso, características y funcionalidad se encuentren y/o utilicen fuera de edificios y/o a la intemperie. </w:t>
            </w:r>
          </w:p>
        </w:tc>
      </w:tr>
      <w:tr w:rsidR="00473802" w:rsidRPr="00473802" w14:paraId="5804E7D4" w14:textId="77777777" w:rsidTr="00473802">
        <w:trPr>
          <w:trHeight w:val="102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CF04145"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Ampliación del plazo para aviso de siniestro.  </w:t>
            </w:r>
            <w:r w:rsidRPr="00473802">
              <w:rPr>
                <w:rFonts w:ascii="Arial" w:eastAsia="Times New Roman" w:hAnsi="Arial" w:cs="Arial"/>
                <w:sz w:val="20"/>
                <w:szCs w:val="20"/>
                <w:lang w:val="es-MX" w:eastAsia="es-MX"/>
              </w:rPr>
              <w:t xml:space="preserve">El Asegurado notificará todos los siniestros por vía telefónica, o por mensaje de telefax  o e -mail lo más pronto posible con no más de treinta días (30) días posteriores al conocimiento del incidente, pérdida o daño que pueda tener relación con este seguro. </w:t>
            </w:r>
          </w:p>
        </w:tc>
      </w:tr>
      <w:tr w:rsidR="00473802" w:rsidRPr="00473802" w14:paraId="30E47E12" w14:textId="77777777" w:rsidTr="00473802">
        <w:trPr>
          <w:trHeight w:val="67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4F3EA248"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 xml:space="preserve">El aviso por escrito deberá contener como mínimo la siguiente información: </w:t>
            </w:r>
          </w:p>
        </w:tc>
      </w:tr>
      <w:tr w:rsidR="00473802" w:rsidRPr="00473802" w14:paraId="54C826FA" w14:textId="77777777" w:rsidTr="00473802">
        <w:trPr>
          <w:trHeight w:val="39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48C5512E"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lastRenderedPageBreak/>
              <w:t>·         Localización del siniestro.</w:t>
            </w:r>
          </w:p>
        </w:tc>
      </w:tr>
      <w:tr w:rsidR="00473802" w:rsidRPr="00473802" w14:paraId="27919C41"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D8C39C9"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         Fecha de la pérdida.</w:t>
            </w:r>
          </w:p>
        </w:tc>
      </w:tr>
      <w:tr w:rsidR="00473802" w:rsidRPr="00473802" w14:paraId="3D12464E" w14:textId="77777777" w:rsidTr="00473802">
        <w:trPr>
          <w:trHeight w:val="33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82420FD"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         Descripción de lo ocurrido.</w:t>
            </w:r>
          </w:p>
        </w:tc>
      </w:tr>
      <w:tr w:rsidR="00473802" w:rsidRPr="00473802" w14:paraId="3F110F98" w14:textId="77777777" w:rsidTr="00473802">
        <w:trPr>
          <w:trHeight w:val="103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11FE140"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 xml:space="preserve">La Aseguradora podrá inspeccionar los daños dentro de un lapso no mayor a cinco (5) días calendario constados desde el día en que haya recibido el aviso, vencido este plazo el asegurado queda facultado para reparar los daños. </w:t>
            </w:r>
          </w:p>
        </w:tc>
      </w:tr>
      <w:tr w:rsidR="00473802" w:rsidRPr="00473802" w14:paraId="0D8F69E6" w14:textId="77777777" w:rsidTr="00473802">
        <w:trPr>
          <w:trHeight w:val="117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C900EAB"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Cobertura para los tanques, piscinas, patios exteriores y construcciones separadas de las edificaciones Sublimite $10.000.000. </w:t>
            </w:r>
            <w:r w:rsidRPr="00473802">
              <w:rPr>
                <w:rFonts w:ascii="Arial" w:eastAsia="Times New Roman" w:hAnsi="Arial" w:cs="Arial"/>
                <w:sz w:val="20"/>
                <w:szCs w:val="20"/>
                <w:lang w:val="es-MX" w:eastAsia="es-MX"/>
              </w:rPr>
              <w:t>La cobertura automáticamente se extenderá a amparar los bienes descritos en ella (incluyendo tanques, piscinas, patios exteriores y construcciones separadas de las edificaciones). Siempre y cuando se hallen dentro de los predios ocupados por el asegurado y formen parte del valor asegurable declarado.</w:t>
            </w:r>
          </w:p>
        </w:tc>
      </w:tr>
      <w:tr w:rsidR="00473802" w:rsidRPr="00473802" w14:paraId="5BA51290" w14:textId="77777777" w:rsidTr="00473802">
        <w:trPr>
          <w:trHeight w:val="204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1DE63BC"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Bienes bajo cuidado tenencia y control. $500.000.000. </w:t>
            </w:r>
            <w:r w:rsidRPr="00473802">
              <w:rPr>
                <w:rFonts w:ascii="Arial" w:eastAsia="Times New Roman" w:hAnsi="Arial" w:cs="Arial"/>
                <w:sz w:val="20"/>
                <w:szCs w:val="20"/>
                <w:lang w:val="es-MX" w:eastAsia="es-MX"/>
              </w:rPr>
              <w:t>Esta póliza cubre el interés del asegurado y la responsabilidad por propiedad privada perteneciente a otros, parcial o totalmente, pero en poder del asegurado o por los que sea legalmente o contractualmente responsable, ya sea porque se haya vendido pero no entregado, se encuentren en almacenaje, para reparación o procesamiento, en demostración, en reemplazo temporal de otros equipos y/o recibidos provisionalmente y por cualquier otro motivo. Igualmente se extiende a amparar los bienes de propiedad de terceros en poder  y/o bajo control del asegurado, ya sea en calidad de préstamo, arrendamiento, leasing, concesión u otro concepto. APLICA PARA BIENES DECLARADOS PREVIAMENTE INCLUIDOS EN LA PÓLIZA.</w:t>
            </w:r>
          </w:p>
        </w:tc>
      </w:tr>
      <w:tr w:rsidR="00473802" w:rsidRPr="00473802" w14:paraId="58097115" w14:textId="77777777" w:rsidTr="00473802">
        <w:trPr>
          <w:trHeight w:val="912"/>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6C61466"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Cambio de ajustador. </w:t>
            </w:r>
            <w:r w:rsidRPr="00473802">
              <w:rPr>
                <w:rFonts w:ascii="Arial" w:eastAsia="Times New Roman" w:hAnsi="Arial" w:cs="Arial"/>
                <w:sz w:val="20"/>
                <w:szCs w:val="20"/>
                <w:lang w:val="es-MX" w:eastAsia="es-MX"/>
              </w:rPr>
              <w:t>En caso de que la Entidad considere que la labor del ajustador designado cuando a ello haya lugar, no es eficaz, la Compañía de Seguros con el solo requerimiento escrito de la Entidad procederá al cambio</w:t>
            </w:r>
          </w:p>
        </w:tc>
      </w:tr>
      <w:tr w:rsidR="00473802" w:rsidRPr="00473802" w14:paraId="3970A8CE" w14:textId="77777777" w:rsidTr="00473802">
        <w:trPr>
          <w:trHeight w:val="148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D441F46"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Cláusula de 72 horas para los eventos catastróficos. </w:t>
            </w:r>
            <w:r w:rsidRPr="00473802">
              <w:rPr>
                <w:rFonts w:ascii="Arial" w:eastAsia="Times New Roman" w:hAnsi="Arial" w:cs="Arial"/>
                <w:sz w:val="20"/>
                <w:szCs w:val="20"/>
                <w:lang w:val="es-MX" w:eastAsia="es-MX"/>
              </w:rPr>
              <w:t>No obstante lo que en contrario se diga en las condiciones generales de la póliza, se deja constancia de que los siniestros que ocurran dentro de cualquier período de 72 horas consecutivas durante la vigencia del amparo, se tendrán como un solo siniestro y las pérdidas y daños que se causen, deberán ser comprendidas en una sola reclamación, sin exceder el total del valor asegurado. Los eventos catastróficos son: Terremoto, temblor, erupción volcánica, huracán, tempestad, inundación y en general cualquier evento de la naturaleza.</w:t>
            </w:r>
          </w:p>
        </w:tc>
      </w:tr>
      <w:tr w:rsidR="00473802" w:rsidRPr="00473802" w14:paraId="14FCBCB6" w14:textId="77777777" w:rsidTr="00473802">
        <w:trPr>
          <w:trHeight w:val="160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208C1BA" w14:textId="7AF6D4C0" w:rsidR="00473802" w:rsidRPr="00522BAD" w:rsidRDefault="00473802" w:rsidP="00522BAD">
            <w:pPr>
              <w:jc w:val="both"/>
              <w:rPr>
                <w:rFonts w:ascii="Arial" w:hAnsi="Arial" w:cs="Arial"/>
                <w:b/>
                <w:bCs/>
                <w:sz w:val="20"/>
                <w:szCs w:val="20"/>
                <w:lang w:val="es-MX" w:eastAsia="es-MX"/>
              </w:rPr>
            </w:pPr>
            <w:r w:rsidRPr="00522BAD">
              <w:rPr>
                <w:rFonts w:ascii="Arial" w:hAnsi="Arial" w:cs="Arial"/>
                <w:b/>
                <w:bCs/>
                <w:sz w:val="20"/>
                <w:szCs w:val="20"/>
                <w:lang w:val="es-MX" w:eastAsia="es-MX"/>
              </w:rPr>
              <w:t>Cláusula de diferencias contractuales</w:t>
            </w:r>
            <w:r w:rsidR="00EC2058">
              <w:rPr>
                <w:rFonts w:ascii="Arial" w:hAnsi="Arial" w:cs="Arial"/>
                <w:b/>
                <w:bCs/>
                <w:sz w:val="20"/>
                <w:szCs w:val="20"/>
                <w:lang w:val="es-MX" w:eastAsia="es-MX"/>
              </w:rPr>
              <w:t xml:space="preserve">. </w:t>
            </w:r>
            <w:r w:rsidRPr="00522BAD">
              <w:rPr>
                <w:rFonts w:ascii="Arial" w:hAnsi="Arial" w:cs="Arial"/>
                <w:sz w:val="20"/>
                <w:szCs w:val="20"/>
                <w:lang w:val="es-MX" w:eastAsia="es-MX"/>
              </w:rPr>
              <w:t>Las diferencias que se susciten entre la Compañía y el asegurado con relación a los siniestros que afecten la presente póliza y en las cuales no exista un acuerdo, serán sometidas a la decisión de peritos o expertos en la actividad que desarrolla el asegurado, según se prevé en el Artículo 68 y siguientes de la ley 80 de 1993.</w:t>
            </w:r>
          </w:p>
        </w:tc>
      </w:tr>
      <w:tr w:rsidR="00473802" w:rsidRPr="00473802" w14:paraId="3FA389D1" w14:textId="77777777" w:rsidTr="00473802">
        <w:trPr>
          <w:trHeight w:val="2115"/>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EE0582D"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b/>
                <w:bCs/>
                <w:sz w:val="20"/>
                <w:szCs w:val="20"/>
                <w:lang w:val="es-MX" w:eastAsia="es-MX"/>
              </w:rPr>
              <w:t>Cláusula para conjuntos. Sublímite $50.0000.000.</w:t>
            </w:r>
            <w:r w:rsidRPr="00473802">
              <w:rPr>
                <w:rFonts w:ascii="Arial" w:eastAsia="Times New Roman" w:hAnsi="Arial" w:cs="Arial"/>
                <w:sz w:val="20"/>
                <w:szCs w:val="20"/>
                <w:lang w:val="es-MX" w:eastAsia="es-MX"/>
              </w:rPr>
              <w:t xml:space="preserve"> Se acepta que si como consecuencia de un riesgo amparado por la póliza, una máquina, pieza o equipo integrante de un conjunto (incluyendo el hardware y software), sufre daños que no permiten su reparación o reemplazo o cuyas partes sean de difícil consecución y que debido a ello las demás partes o componentes del conjunto no afectado que son indispensables, complementarios, compatibles y dependientes entre sí, es decir que conforman un conjunto con los equipos siniestrados para garantizar el establecimiento de la operación de los equipos que forman parte de un conjunto, entre diferentes puntos y aun en los casos en que no necesariamente estén ubicados en el mismo punto geográfico de los equipos siniestrados), no pueden ser utilizados o no pueden seguir funcionando, la póliza en un todo, de acuerdo con sus cláusulas y condiciones, indemnizará el valor asegurado de la totalidad del conjunto inutilizado. </w:t>
            </w:r>
          </w:p>
        </w:tc>
      </w:tr>
      <w:tr w:rsidR="00473802" w:rsidRPr="00473802" w14:paraId="752309DA" w14:textId="77777777" w:rsidTr="00473802">
        <w:trPr>
          <w:trHeight w:val="139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FEAFE19"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 xml:space="preserve">Clausula de Indemnización (para los amparos de equipo electronico y equipo y maquinaria) </w:t>
            </w:r>
            <w:r w:rsidRPr="00473802">
              <w:rPr>
                <w:rFonts w:ascii="Arial" w:eastAsia="Times New Roman" w:hAnsi="Arial" w:cs="Arial"/>
                <w:sz w:val="20"/>
                <w:szCs w:val="20"/>
                <w:lang w:val="es-MX" w:eastAsia="es-MX"/>
              </w:rPr>
              <w:t>a valor de reposición para equipos con edad inferior a tres (3) años. Se entenderá como valor de reposición a nuevo la cantidad de dinero que exigiría la adquisición de un nuevo bien de la misma clase y capacidad, incluyendo el costo de transporte, montaje y derechos de aduana, sí los hubiere, El asegurado deberá solicitar y mantener como suma asegurada la que sea equivalente al valor de reposición a nuevo.</w:t>
            </w:r>
          </w:p>
        </w:tc>
      </w:tr>
      <w:tr w:rsidR="00473802" w:rsidRPr="00473802" w14:paraId="4E78D398" w14:textId="77777777" w:rsidTr="00473802">
        <w:trPr>
          <w:trHeight w:val="123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3DEB4D"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Cobertura automática para nuevas propiedades y bienes. Sublímite $200.000.000</w:t>
            </w:r>
            <w:r w:rsidRPr="00473802">
              <w:rPr>
                <w:rFonts w:ascii="Arial" w:eastAsia="Times New Roman" w:hAnsi="Arial" w:cs="Arial"/>
                <w:sz w:val="20"/>
                <w:szCs w:val="20"/>
                <w:lang w:val="es-MX" w:eastAsia="es-MX"/>
              </w:rPr>
              <w:t xml:space="preserve"> del valor asegurado y aviso de treinta (30) días.  La propuesta debe contemplar cobertura automática, a partir del momento en que el asegurado asuma la responsabilidad por los bienes nuevos, sujeto a que éste queda obligado a dar aviso a la aseguradora dentro de los treinta (30) días siguientes a la adquisición o recibo de los mismos y al pago de la prima proporcional. </w:t>
            </w:r>
          </w:p>
        </w:tc>
      </w:tr>
      <w:tr w:rsidR="00473802" w:rsidRPr="00473802" w14:paraId="0145B9B3" w14:textId="77777777" w:rsidTr="00473802">
        <w:trPr>
          <w:trHeight w:val="181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C5A5A45"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Cobertura automática para montajes y/o construcciones. </w:t>
            </w:r>
            <w:r w:rsidRPr="00473802">
              <w:rPr>
                <w:rFonts w:ascii="Arial" w:eastAsia="Times New Roman" w:hAnsi="Arial" w:cs="Arial"/>
                <w:sz w:val="20"/>
                <w:szCs w:val="20"/>
                <w:lang w:val="es-MX" w:eastAsia="es-MX"/>
              </w:rPr>
              <w:t xml:space="preserve">La Aseguradora ampara automáticamente contra los riesgos cubiertos, las propiedades y bienes en construcción, ensamblaje, alistamiento, montaje, desmontaje y pruebas, de naturaleza incidental. Como "incidental" se entienden las obras cuyo valor total final no supere la suma de </w:t>
            </w:r>
            <w:r w:rsidRPr="00473802">
              <w:rPr>
                <w:rFonts w:ascii="Arial" w:eastAsia="Times New Roman" w:hAnsi="Arial" w:cs="Arial"/>
                <w:b/>
                <w:bCs/>
                <w:sz w:val="20"/>
                <w:szCs w:val="20"/>
                <w:lang w:val="es-MX" w:eastAsia="es-MX"/>
              </w:rPr>
              <w:t xml:space="preserve">$200.000.000. </w:t>
            </w:r>
            <w:r w:rsidRPr="00473802">
              <w:rPr>
                <w:rFonts w:ascii="Arial" w:eastAsia="Times New Roman" w:hAnsi="Arial" w:cs="Arial"/>
                <w:sz w:val="20"/>
                <w:szCs w:val="20"/>
                <w:lang w:val="es-MX" w:eastAsia="es-MX"/>
              </w:rPr>
              <w:t xml:space="preserve">Para las obras en construcción y/o montaje cuyo valor total supere el monto antes señalado, con base en la información que el asegurado suministre previamente a la iniciación de los trabajos, podrá otorgar amparo mediante acuerdo expreso, en cuyo caso una prima adicional será determinada por la Aseguradora y pagada por el asegurado. Aviso 90 días. </w:t>
            </w:r>
          </w:p>
        </w:tc>
      </w:tr>
      <w:tr w:rsidR="00473802" w:rsidRPr="00473802" w14:paraId="56097D2A" w14:textId="77777777" w:rsidTr="00473802">
        <w:trPr>
          <w:trHeight w:val="114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AF1B714"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Cobertura automática para equipos en reemplazo de los asegurados inicialmente bajo la póliza. </w:t>
            </w:r>
            <w:r w:rsidRPr="00473802">
              <w:rPr>
                <w:rFonts w:ascii="Arial" w:eastAsia="Times New Roman" w:hAnsi="Arial" w:cs="Arial"/>
                <w:sz w:val="20"/>
                <w:szCs w:val="20"/>
                <w:lang w:val="es-MX" w:eastAsia="es-MX"/>
              </w:rPr>
              <w:t>mientras dure el periodo de reacondicionamiento, revisión, mantenimiento y fines similares. Cubre todos aquellos equipos que sean instalados en reemplazo de los amparados inicialmente, desde el momento en que hayan cumplido satisfactoriamente con el periodo de pruebas y esten montados y listos para entrar en funcionamiento.</w:t>
            </w:r>
          </w:p>
        </w:tc>
      </w:tr>
      <w:tr w:rsidR="00473802" w:rsidRPr="00473802" w14:paraId="672A6B61" w14:textId="77777777" w:rsidTr="00473802">
        <w:trPr>
          <w:trHeight w:val="151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84FC44C" w14:textId="1F7F00B8"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Concurrencia de amparos, cláusulas o condiciones.</w:t>
            </w:r>
            <w:r w:rsidR="00EC2058">
              <w:rPr>
                <w:rFonts w:ascii="Arial" w:eastAsia="Times New Roman" w:hAnsi="Arial" w:cs="Arial"/>
                <w:b/>
                <w:bCs/>
                <w:color w:val="000000"/>
                <w:sz w:val="20"/>
                <w:szCs w:val="20"/>
                <w:lang w:val="es-MX" w:eastAsia="es-MX"/>
              </w:rPr>
              <w:t xml:space="preserve"> </w:t>
            </w:r>
            <w:r w:rsidRPr="00473802">
              <w:rPr>
                <w:rFonts w:ascii="Arial" w:eastAsia="Times New Roman" w:hAnsi="Arial" w:cs="Arial"/>
                <w:color w:val="000000"/>
                <w:sz w:val="20"/>
                <w:szCs w:val="20"/>
                <w:lang w:val="es-MX" w:eastAsia="es-MX"/>
              </w:rPr>
              <w:t>Queda entendido, convenido y aceptado, que si dos o más amparos, cláusulas o condiciones otorgan cobertura a un mismo evento, se indemnizará con base en aquella que ofrezca mayor protección para los intereses del asegurado. De igual manera prevalecerán los amparos, cláusulas o condiciones que otorguen coberturas sobre aquellos que las excluyan. En todo caso y ante cualquier discrepancia sobre cual es el amparo, cláusula o condición aplicable a un caso determinado, se aplicara aquella que determine el asegurado de acuerdo a su conveniencia.</w:t>
            </w:r>
          </w:p>
        </w:tc>
      </w:tr>
      <w:tr w:rsidR="00473802" w:rsidRPr="00473802" w14:paraId="2B6F0606" w14:textId="77777777" w:rsidTr="00473802">
        <w:trPr>
          <w:trHeight w:val="139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16644EC"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Conocimiento del riesgo. </w:t>
            </w:r>
            <w:r w:rsidRPr="00473802">
              <w:rPr>
                <w:rFonts w:ascii="Arial" w:eastAsia="Times New Roman" w:hAnsi="Arial" w:cs="Arial"/>
                <w:sz w:val="20"/>
                <w:szCs w:val="20"/>
                <w:lang w:val="es-MX" w:eastAsia="es-MX"/>
              </w:rPr>
              <w:t>La Aseguradora  manifiesta  que conoce el riesgo y que partiendo de esta base ha hecho la tasación y ha establecido los términos y condiciones para la contratación de esta cobertura; por consiguiente deja constancia del conocimiento y aceptación de los riesgos, las circunstancias y condiciones de los mismos. La aseguradora, dentro de la vigencia de la póliza, tendrá el derecho de inspeccionar los bienes asegurados, en cualquier día y hora hábiles previa autorización por parte del Asegurado.</w:t>
            </w:r>
          </w:p>
        </w:tc>
      </w:tr>
      <w:tr w:rsidR="00473802" w:rsidRPr="00473802" w14:paraId="049C0DB3" w14:textId="77777777" w:rsidTr="00473802">
        <w:trPr>
          <w:trHeight w:val="90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5D46EA6C"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Daños a calderas y/o aparatos generadores de vapor por su propia explosión.</w:t>
            </w:r>
            <w:r w:rsidRPr="00473802">
              <w:rPr>
                <w:rFonts w:ascii="Arial" w:eastAsia="Times New Roman" w:hAnsi="Arial" w:cs="Arial"/>
                <w:sz w:val="20"/>
                <w:szCs w:val="20"/>
                <w:lang w:val="es-MX" w:eastAsia="es-MX"/>
              </w:rPr>
              <w:t xml:space="preserve"> Se amparan los daños o perdidas materiales que sufran las calderas u otros aparatos qeneradores de vapor como consecuencia de su propia explosión, sea que ella origine o no incendio.</w:t>
            </w:r>
          </w:p>
        </w:tc>
      </w:tr>
      <w:tr w:rsidR="00473802" w:rsidRPr="00473802" w14:paraId="5E53BFF7" w14:textId="77777777" w:rsidTr="00473802">
        <w:trPr>
          <w:trHeight w:val="120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1C6450C"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Denominación en libros, registros o sistemas del asegurado. </w:t>
            </w:r>
            <w:r w:rsidRPr="00473802">
              <w:rPr>
                <w:rFonts w:ascii="Arial" w:eastAsia="Times New Roman" w:hAnsi="Arial" w:cs="Arial"/>
                <w:color w:val="000000"/>
                <w:sz w:val="20"/>
                <w:szCs w:val="20"/>
                <w:lang w:val="es-MX" w:eastAsia="es-MX"/>
              </w:rPr>
              <w:t>Queda entendido, convenido y aceptado que la compañía acepta el título, nombre, denominación y/o nomenclatura con que el asegurado identifica o describe los bienes asegurados en sus registros, inventarios, bases de datos o similares, siempre y cuando la definición esté de acuerdo a la naturaleza física de los mismos.</w:t>
            </w:r>
          </w:p>
        </w:tc>
      </w:tr>
      <w:tr w:rsidR="00473802" w:rsidRPr="00473802" w14:paraId="480B7020" w14:textId="77777777" w:rsidTr="00473802">
        <w:trPr>
          <w:trHeight w:val="79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4DF84211"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Designacion de bienes asegurados. </w:t>
            </w:r>
            <w:r w:rsidRPr="00473802">
              <w:rPr>
                <w:rFonts w:ascii="Arial" w:eastAsia="Times New Roman" w:hAnsi="Arial" w:cs="Arial"/>
                <w:sz w:val="20"/>
                <w:szCs w:val="20"/>
                <w:lang w:val="es-MX" w:eastAsia="es-MX"/>
              </w:rPr>
              <w:t xml:space="preserve">Queda entendido, convenido y aceptado que la compañía acepta el título, nombre, denominación y/o nomenclatura con que el asegurado identifica o describe los bienes asegurados en sus registros, inventarios, bases de datos o similares, siempre y cuando la definición este de acuerdo a la naturaleza fisica de los mismos. </w:t>
            </w:r>
          </w:p>
        </w:tc>
      </w:tr>
      <w:tr w:rsidR="00473802" w:rsidRPr="00473802" w14:paraId="20C4D282" w14:textId="77777777" w:rsidTr="00473802">
        <w:trPr>
          <w:trHeight w:val="118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9D94F51"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 xml:space="preserve">Designación de ajustadores. </w:t>
            </w:r>
            <w:r w:rsidRPr="00473802">
              <w:rPr>
                <w:rFonts w:ascii="Arial" w:eastAsia="Times New Roman" w:hAnsi="Arial" w:cs="Arial"/>
                <w:sz w:val="20"/>
                <w:szCs w:val="20"/>
                <w:lang w:val="es-MX" w:eastAsia="es-MX"/>
              </w:rPr>
              <w:t>Queda entendido, convenido y aceptado que, en caso de siniestros amparados por la presente póliza que requieran la asignación de un perito ajustador, la Aseguradora efectuará su contratación previo acuerdo y aprobación del Asegurado.</w:t>
            </w:r>
          </w:p>
        </w:tc>
      </w:tr>
      <w:tr w:rsidR="00473802" w:rsidRPr="00473802" w14:paraId="78D42E4B" w14:textId="77777777" w:rsidTr="00473802">
        <w:trPr>
          <w:trHeight w:val="117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9CC9746"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Determinación de la pérdida indemnizable. </w:t>
            </w:r>
            <w:r w:rsidRPr="00473802">
              <w:rPr>
                <w:rFonts w:ascii="Arial" w:eastAsia="Times New Roman" w:hAnsi="Arial" w:cs="Arial"/>
                <w:color w:val="000000"/>
                <w:sz w:val="20"/>
                <w:szCs w:val="20"/>
                <w:lang w:val="es-MX" w:eastAsia="es-MX"/>
              </w:rPr>
              <w:t xml:space="preserve">El proponente acepta en forma expresa que la determinación del valor de la pérdida indemnizable de bienes, se efectuará con base en cotizaciones de bienes de la misma clase, capacidad, tipo y marca o de las características más similares que ofrezca el mercado. En caso de que en el mercado no existan bienes de las mismas o similares características, la determinación se efectuará con base en la(s) alternativa(s) de reemplazo que presentará el asegurado. </w:t>
            </w:r>
          </w:p>
        </w:tc>
      </w:tr>
      <w:tr w:rsidR="00473802" w:rsidRPr="00473802" w14:paraId="637409EB" w14:textId="77777777" w:rsidTr="00473802">
        <w:trPr>
          <w:trHeight w:val="100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F00F997"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Equipo en Garantía. </w:t>
            </w:r>
            <w:r w:rsidRPr="00473802">
              <w:rPr>
                <w:rFonts w:ascii="Arial" w:eastAsia="Times New Roman" w:hAnsi="Arial" w:cs="Arial"/>
                <w:sz w:val="20"/>
                <w:szCs w:val="20"/>
                <w:lang w:val="es-MX" w:eastAsia="es-MX"/>
              </w:rPr>
              <w:t>(Rotura de Maquinaria y Equipo Electrónico). En todos aquellos casos en que los bienes asegurados se encuentren bajo garantia (Calidad y Correcto Funcionamiento por ejemplo). La Aseguradora pagará la indemnización bajo el contrato de seguros y se subrogara en todos los derechos incluyendo los de garantia.</w:t>
            </w:r>
          </w:p>
        </w:tc>
      </w:tr>
      <w:tr w:rsidR="00473802" w:rsidRPr="00473802" w14:paraId="17E7CF3D" w14:textId="77777777" w:rsidTr="00473802">
        <w:trPr>
          <w:trHeight w:val="154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5AD6425"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Equipos de reemplazo temporal. Sublimite $500.000.000. </w:t>
            </w:r>
            <w:r w:rsidRPr="00473802">
              <w:rPr>
                <w:rFonts w:ascii="Arial" w:eastAsia="Times New Roman" w:hAnsi="Arial" w:cs="Arial"/>
                <w:sz w:val="20"/>
                <w:szCs w:val="20"/>
                <w:lang w:val="es-MX" w:eastAsia="es-MX"/>
              </w:rPr>
              <w:t xml:space="preserve">El Oferente debe contemplar en su propuesta, la extensión del amparo para los equipos que sean instalados temporalmente en reemplazo de los asegurados inicialmente bajo la póliza, mientras que dure el período de reacondicionamiento,  revisión, mantenimiento y fines similares. Así mismo, se cubren automáticamente los nuevos equipos que sean instalados para reponer o reemplazar los asegurados bajo la póliza, desde el momento en que sean recibidos por el asegurado. </w:t>
            </w:r>
          </w:p>
        </w:tc>
      </w:tr>
      <w:tr w:rsidR="00473802" w:rsidRPr="00473802" w14:paraId="09DE605F" w14:textId="77777777" w:rsidTr="00473802">
        <w:trPr>
          <w:trHeight w:val="117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3060AF0"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Equipos móviles y portátiles. </w:t>
            </w:r>
            <w:r w:rsidRPr="00473802">
              <w:rPr>
                <w:rFonts w:ascii="Arial" w:eastAsia="Times New Roman" w:hAnsi="Arial" w:cs="Arial"/>
                <w:sz w:val="20"/>
                <w:szCs w:val="20"/>
                <w:lang w:val="es-MX" w:eastAsia="es-MX"/>
              </w:rPr>
              <w:t xml:space="preserve">Debe contemplarse bajo esta cobertura, el cubrimiento de las pérdidas y/o daños para los equipos móviles y/o portátiles amparados bajo la póliza mientras sean movilizados dentro ó otros predios del asegurado y/o de terceros dentro del territorio nacional y mientras permanezcan en los mismos. Esta cobertura se extiende a amparar los equipos móviles y/o portátiles cuando se movilizen fuera de los límites territoriales de Colombia incluyendo los amparos de hurto simple y hurto calificado. </w:t>
            </w:r>
          </w:p>
        </w:tc>
      </w:tr>
      <w:tr w:rsidR="00473802" w:rsidRPr="00473802" w14:paraId="03250999" w14:textId="77777777" w:rsidTr="00473802">
        <w:trPr>
          <w:trHeight w:val="151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323E56B"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Errores y omisiones en la presentación de la información sobre bienes asegurados. Sublimite 10% del valor asegurado. </w:t>
            </w:r>
            <w:r w:rsidRPr="00473802">
              <w:rPr>
                <w:rFonts w:ascii="Arial" w:eastAsia="Times New Roman" w:hAnsi="Arial" w:cs="Arial"/>
                <w:sz w:val="20"/>
                <w:szCs w:val="20"/>
                <w:lang w:val="es-MX" w:eastAsia="es-MX"/>
              </w:rPr>
              <w:t>Bajo esta cláusula la compañía se compromete a indemnizar la pérdida y/o daño de bienes sobre los cuales se haya presentado información imprecisa, sobre la identificación de los mismos, siempre y cuando se pueda evidenciar que la entidad asegurada tenía la intención de asegurar o se haya pagado la prima correspondiente a la aseguradora.</w:t>
            </w:r>
          </w:p>
        </w:tc>
      </w:tr>
      <w:tr w:rsidR="00473802" w:rsidRPr="00473802" w14:paraId="49268D89" w14:textId="77777777" w:rsidTr="00473802">
        <w:trPr>
          <w:trHeight w:val="150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EEDF040"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Errores, omisiones e inexactitudes no intencionales.</w:t>
            </w:r>
            <w:r w:rsidRPr="00473802">
              <w:rPr>
                <w:rFonts w:ascii="Arial" w:eastAsia="Times New Roman" w:hAnsi="Arial" w:cs="Arial"/>
                <w:sz w:val="20"/>
                <w:szCs w:val="20"/>
                <w:lang w:val="es-MX" w:eastAsia="es-MX"/>
              </w:rPr>
              <w:t xml:space="preserve"> El tomador está obligado a declarar sinceramente los hechos y circunstancias que determinen el estado del riesgo.  La inexactitud sobre hechos o circunstancias que, conocidas por la compañía, la hubieren retraído de celebrar el contrato o inducido a estipular condiciones más onerosas, produce la nulidad relativa del seguro. Sin embargo, si se incurriere en errores, omisiones e inexactitudes imputables al tomador o al asegurado, el contrato no será nulo ni habrá lugar a la aplicación del inciso tercero del artículo 1058 del Código de Comercio sobre reducción porcentual de la prestación asegurada.  En este caso se deberá pagar la prima adecuada al verdadero estado del riesgo. </w:t>
            </w:r>
          </w:p>
        </w:tc>
      </w:tr>
      <w:tr w:rsidR="00473802" w:rsidRPr="00473802" w14:paraId="02E885C5" w14:textId="77777777" w:rsidTr="00473802">
        <w:trPr>
          <w:trHeight w:val="148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71099C8"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Extensión de la cobertura a hurto y hurto calificado para equipos móviles y portátiles. </w:t>
            </w:r>
            <w:r w:rsidRPr="00473802">
              <w:rPr>
                <w:rFonts w:ascii="Arial" w:eastAsia="Times New Roman" w:hAnsi="Arial" w:cs="Arial"/>
                <w:sz w:val="20"/>
                <w:szCs w:val="20"/>
                <w:lang w:val="es-MX" w:eastAsia="es-MX"/>
              </w:rPr>
              <w:t>Bajo esta condición la cobertura de la presente póliza se extiende a amparar las pérdidas, como consecuencia de hurto y/o hurto calificado, que afecten los equipos móviles y/o portátiles, mientras sean transportados a otros predios del asegurado y/o de terceros y mientras permanezcan en los mismos  dentro del territorio nacional y en el exterior</w:t>
            </w:r>
          </w:p>
        </w:tc>
      </w:tr>
      <w:tr w:rsidR="00473802" w:rsidRPr="00473802" w14:paraId="6C96AE6B" w14:textId="77777777" w:rsidTr="00473802">
        <w:trPr>
          <w:trHeight w:val="160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D609090"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Extensión de la cobertura de daños materiales para equipos móviles y portátiles.</w:t>
            </w:r>
            <w:r w:rsidRPr="00473802">
              <w:rPr>
                <w:rFonts w:ascii="Arial" w:eastAsia="Times New Roman" w:hAnsi="Arial" w:cs="Arial"/>
                <w:sz w:val="20"/>
                <w:szCs w:val="20"/>
                <w:lang w:val="es-MX" w:eastAsia="es-MX"/>
              </w:rPr>
              <w:t xml:space="preserve"> Bajo esta condición la cobertura de la presente póliza se extiende a amparar el daño material que sufran los equipos móviles y/o portátiles cubiertos bajo la póliza, mientras sean transportados a otros predios del asegurado y/o de terceros y mientras permanezcan en los mismos dentro del territorio nacional y en el exterior.</w:t>
            </w:r>
          </w:p>
        </w:tc>
      </w:tr>
      <w:tr w:rsidR="00473802" w:rsidRPr="00473802" w14:paraId="125B3FD5" w14:textId="77777777" w:rsidTr="00473802">
        <w:trPr>
          <w:trHeight w:val="61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BAE2200"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Experticio técnico. </w:t>
            </w:r>
          </w:p>
        </w:tc>
      </w:tr>
      <w:tr w:rsidR="00473802" w:rsidRPr="00473802" w14:paraId="61240A0F" w14:textId="77777777" w:rsidTr="00473802">
        <w:trPr>
          <w:trHeight w:val="150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51AC7C29"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Garantías. </w:t>
            </w:r>
            <w:r w:rsidRPr="00473802">
              <w:rPr>
                <w:rFonts w:ascii="Arial" w:eastAsia="Times New Roman" w:hAnsi="Arial" w:cs="Arial"/>
                <w:sz w:val="20"/>
                <w:szCs w:val="20"/>
                <w:lang w:val="es-MX" w:eastAsia="es-MX"/>
              </w:rPr>
              <w:t xml:space="preserve">La Entidad acepta únicamente las garantías expresamente mencionadas en el texto del condicionado general depositado por la aseguradora en la Superintendencia Financiera con anterioridad no inferior a quince (15) días hábiles al cierre del proceso. No obstante encontrarse consignadas en el condicionado general mencionado, la aseguradora no podrá exigir garantías de imposible cumplimiento para entidad a causa de restricciones y/o disposiciones de orden legal o cuando la operación de la entidad no permita su cumplimiento. </w:t>
            </w:r>
          </w:p>
        </w:tc>
      </w:tr>
      <w:tr w:rsidR="00473802" w:rsidRPr="00473802" w14:paraId="04D80D79" w14:textId="77777777" w:rsidTr="00473802">
        <w:trPr>
          <w:trHeight w:val="75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EA2C122"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Hurto de partes y elementos de las edificaciones incluido el daño emergente con ocasión del evento o su tentativa. </w:t>
            </w:r>
          </w:p>
        </w:tc>
      </w:tr>
      <w:tr w:rsidR="00473802" w:rsidRPr="00473802" w14:paraId="08EB23DD" w14:textId="77777777" w:rsidTr="00473802">
        <w:trPr>
          <w:trHeight w:val="130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F897F72"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Labores y materiales, Sublimite $3,000.000.000</w:t>
            </w:r>
            <w:r w:rsidRPr="00473802">
              <w:rPr>
                <w:rFonts w:ascii="Arial" w:eastAsia="Times New Roman" w:hAnsi="Arial" w:cs="Arial"/>
                <w:sz w:val="20"/>
                <w:szCs w:val="20"/>
                <w:lang w:val="es-MX" w:eastAsia="es-MX"/>
              </w:rPr>
              <w:t xml:space="preserve"> La Compañía autoriza al asegurado para efectuar las modificaciones dentro del riesgo, que juzgue  necesarias para el funcionamiento de la industria o negocio. Cuando tales modificaciones varíen sustancial, objetiva y materialmente los riesgos conocidos y aceptados por la compañía, el asegurado estará obligado a avisar de ellas por escrito a la compañía, sí éstos constituyen agravación de los riesgos. </w:t>
            </w:r>
          </w:p>
        </w:tc>
      </w:tr>
      <w:tr w:rsidR="00473802" w:rsidRPr="00473802" w14:paraId="0107D2F6" w14:textId="77777777" w:rsidTr="00473802">
        <w:trPr>
          <w:trHeight w:val="1332"/>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FCB9B0B"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Modificación de condiciones. </w:t>
            </w:r>
            <w:r w:rsidRPr="00473802">
              <w:rPr>
                <w:rFonts w:ascii="Arial" w:eastAsia="Times New Roman" w:hAnsi="Arial" w:cs="Arial"/>
                <w:color w:val="000000"/>
                <w:sz w:val="20"/>
                <w:szCs w:val="20"/>
                <w:lang w:val="es-MX" w:eastAsia="es-MX"/>
              </w:rPr>
              <w:t xml:space="preserve">Debe contemplarse bajo esta cláusula, que los cambios o modificaciones a las condiciones de la presente póliza, serán acordados mutuamente entre la compañía y el asegurado. El certificado, documento o comunicaciones que se expidan para formalizarlos debe ser firmado, en señal de aceptación, por un representante legal del asegurado o funcionario autorizado, prevaleciendo sobre las condiciones de esta póliza. </w:t>
            </w:r>
          </w:p>
        </w:tc>
      </w:tr>
      <w:tr w:rsidR="00473802" w:rsidRPr="00473802" w14:paraId="1974B0E3" w14:textId="77777777" w:rsidTr="00473802">
        <w:trPr>
          <w:trHeight w:val="1242"/>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434D24E"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Modificaciones a favor del asegurado. </w:t>
            </w:r>
            <w:r w:rsidRPr="00473802">
              <w:rPr>
                <w:rFonts w:ascii="Arial" w:eastAsia="Times New Roman" w:hAnsi="Arial" w:cs="Arial"/>
                <w:sz w:val="20"/>
                <w:szCs w:val="20"/>
                <w:lang w:val="es-MX" w:eastAsia="es-MX"/>
              </w:rPr>
              <w:t>Si durante la vigencia de la póliza se presentan modificaciones a las condiciones de la póliza que representen un beneficio a favor del asegurado, sin que impliquen un aumento a la prima originalmente pactada, tales modificaciones se consideran automáticamente incorporadas a la póliza.</w:t>
            </w:r>
          </w:p>
        </w:tc>
      </w:tr>
      <w:tr w:rsidR="00473802" w:rsidRPr="00473802" w14:paraId="5FF3C6DA" w14:textId="77777777" w:rsidTr="00473802">
        <w:trPr>
          <w:trHeight w:val="144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CB2BC6F"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Modificaciones o variaciones del riesgo. </w:t>
            </w:r>
            <w:r w:rsidRPr="00473802">
              <w:rPr>
                <w:rFonts w:ascii="Arial" w:eastAsia="Times New Roman" w:hAnsi="Arial" w:cs="Arial"/>
                <w:sz w:val="20"/>
                <w:szCs w:val="20"/>
                <w:lang w:val="es-MX" w:eastAsia="es-MX"/>
              </w:rPr>
              <w:t>La Aseguradora autoriza al asegurado para efectuar las modificaciones, alteraciones y/o reparaciones dentro del riesgo asegurado, que juzgue necesarias para el funcionamiento de la industria o negocio. Cuando tales modificaciones varíen sustancial, objetiva y materialmente los riesgos conocidos y aceptados por la compañía, el asegurado estará obligado a avisar de ellas por escrito a la compañía dentro de los noventa (90) días comunes contados a partir de la finalización de estas modificaciones, sí éstos constituyen agravación de los riesgos.</w:t>
            </w:r>
          </w:p>
        </w:tc>
      </w:tr>
      <w:tr w:rsidR="00473802" w:rsidRPr="00473802" w14:paraId="46897ACD" w14:textId="77777777" w:rsidTr="00473802">
        <w:trPr>
          <w:trHeight w:val="1485"/>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6207732"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No concurrencia de amparos, cláusulas o condiciones. </w:t>
            </w:r>
            <w:r w:rsidRPr="00473802">
              <w:rPr>
                <w:rFonts w:ascii="Arial" w:eastAsia="Times New Roman" w:hAnsi="Arial" w:cs="Arial"/>
                <w:sz w:val="20"/>
                <w:szCs w:val="20"/>
                <w:lang w:val="es-MX" w:eastAsia="es-MX"/>
              </w:rPr>
              <w:t>Queda entendido, convenido y aceptado, que si dos o más amparos, cláusulas o condiciones otorgan cobertura a un mismo evento, se indemnizará con base en aquella que ofrezca mayor protección para los intereses del asegurado. De igual manera prevalecerán los amparos, cláusulas o condiciones que otorguen coberturas sobre aquellos que las excluyan. En todo caso y ante cualquier discrepancia sobre cuál es el amparo, cláusula o condición aplicable a un caso determinado, se aplicara aquella que determine el asegurado de acuerdo a su conveniencia.</w:t>
            </w:r>
          </w:p>
        </w:tc>
      </w:tr>
      <w:tr w:rsidR="00473802" w:rsidRPr="00473802" w14:paraId="59481AF9" w14:textId="77777777" w:rsidTr="00473802">
        <w:trPr>
          <w:trHeight w:val="123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338E8CF"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 xml:space="preserve">No Subrogación. </w:t>
            </w:r>
            <w:r w:rsidRPr="00473802">
              <w:rPr>
                <w:rFonts w:ascii="Arial" w:eastAsia="Times New Roman" w:hAnsi="Arial" w:cs="Arial"/>
                <w:sz w:val="20"/>
                <w:szCs w:val="20"/>
                <w:lang w:val="es-MX" w:eastAsia="es-MX"/>
              </w:rPr>
              <w:t>Al indemnizar un siniestro la compañía se subroga, por ministerio de la ley y hasta concurrencia de su importe, en los derechos del Asegurado contra las personas responsables del siniestro, no obstante la Compañía renuncia expresamente a ejercer sus derechos de subrogación contra:</w:t>
            </w:r>
          </w:p>
        </w:tc>
      </w:tr>
      <w:tr w:rsidR="00473802" w:rsidRPr="00473802" w14:paraId="2C7AFD55" w14:textId="77777777" w:rsidTr="00473802">
        <w:trPr>
          <w:trHeight w:val="72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E3FB120"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1. Cualquier persona o Entidad que sea un Asegurado bajo la póliza.</w:t>
            </w:r>
          </w:p>
        </w:tc>
      </w:tr>
      <w:tr w:rsidR="00473802" w:rsidRPr="00473802" w14:paraId="3709C174" w14:textId="77777777" w:rsidTr="00473802">
        <w:trPr>
          <w:trHeight w:val="79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5555E27"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2. Cualquier filial, subsidiaria u operadora del asegurado.</w:t>
            </w:r>
          </w:p>
        </w:tc>
      </w:tr>
      <w:tr w:rsidR="00473802" w:rsidRPr="00473802" w14:paraId="5BBC1F5A" w14:textId="77777777" w:rsidTr="00473802">
        <w:trPr>
          <w:trHeight w:val="63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C4F5D54"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3. Cualquier miembro de la Junta Directiva o cualquier empleado o dependiente del Asegurado, salvo el caso en que los daños hayan sido causados intencionalmente por ellos.</w:t>
            </w:r>
          </w:p>
        </w:tc>
      </w:tr>
      <w:tr w:rsidR="00473802" w:rsidRPr="00473802" w14:paraId="6B693C43" w14:textId="77777777" w:rsidTr="00473802">
        <w:trPr>
          <w:trHeight w:val="1065"/>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B0BB69B" w14:textId="72CB4EFD"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No tasación o inventarios cuando la pérdida sea inferior a $10.000.000. </w:t>
            </w:r>
            <w:r w:rsidRPr="00473802">
              <w:rPr>
                <w:rFonts w:ascii="Arial" w:eastAsia="Times New Roman" w:hAnsi="Arial" w:cs="Arial"/>
                <w:sz w:val="20"/>
                <w:szCs w:val="20"/>
                <w:lang w:val="es-MX" w:eastAsia="es-MX"/>
              </w:rPr>
              <w:t>Queda expresamente entendido. convenido y aceptado. que la co</w:t>
            </w:r>
            <w:r w:rsidR="0077660C">
              <w:rPr>
                <w:rFonts w:ascii="Arial" w:eastAsia="Times New Roman" w:hAnsi="Arial" w:cs="Arial"/>
                <w:sz w:val="20"/>
                <w:szCs w:val="20"/>
                <w:lang w:val="es-MX" w:eastAsia="es-MX"/>
              </w:rPr>
              <w:t>m</w:t>
            </w:r>
            <w:r w:rsidRPr="00473802">
              <w:rPr>
                <w:rFonts w:ascii="Arial" w:eastAsia="Times New Roman" w:hAnsi="Arial" w:cs="Arial"/>
                <w:sz w:val="20"/>
                <w:szCs w:val="20"/>
                <w:lang w:val="es-MX" w:eastAsia="es-MX"/>
              </w:rPr>
              <w:t>pañ</w:t>
            </w:r>
            <w:r w:rsidR="0077660C">
              <w:rPr>
                <w:rFonts w:ascii="Arial" w:eastAsia="Times New Roman" w:hAnsi="Arial" w:cs="Arial"/>
                <w:sz w:val="20"/>
                <w:szCs w:val="20"/>
                <w:lang w:val="es-MX" w:eastAsia="es-MX"/>
              </w:rPr>
              <w:t>í</w:t>
            </w:r>
            <w:r w:rsidRPr="00473802">
              <w:rPr>
                <w:rFonts w:ascii="Arial" w:eastAsia="Times New Roman" w:hAnsi="Arial" w:cs="Arial"/>
                <w:sz w:val="20"/>
                <w:szCs w:val="20"/>
                <w:lang w:val="es-MX" w:eastAsia="es-MX"/>
              </w:rPr>
              <w:t>a no efectuará un inventario o tasación de la propiedad no dañada por un siniestro amparado por la póliza a la cual este documento se adhiere, cuando la cuantía reclamada por el asegurado sea igual o interior a $10.000.000.</w:t>
            </w:r>
          </w:p>
        </w:tc>
      </w:tr>
      <w:tr w:rsidR="00473802" w:rsidRPr="00473802" w14:paraId="24EED207" w14:textId="77777777" w:rsidTr="00473802">
        <w:trPr>
          <w:trHeight w:val="67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F39BC05"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Opción de reposición o reparación del bien o indemnización mediante pago en dinero, a conveniencia del asegurado.</w:t>
            </w:r>
          </w:p>
        </w:tc>
      </w:tr>
      <w:tr w:rsidR="00473802" w:rsidRPr="00473802" w14:paraId="793B866C" w14:textId="77777777" w:rsidTr="00473802">
        <w:trPr>
          <w:trHeight w:val="172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8FC1195"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Pago de la indemnización. </w:t>
            </w:r>
            <w:r w:rsidRPr="00473802">
              <w:rPr>
                <w:rFonts w:ascii="Arial" w:eastAsia="Times New Roman" w:hAnsi="Arial" w:cs="Arial"/>
                <w:sz w:val="20"/>
                <w:szCs w:val="20"/>
                <w:lang w:val="es-MX" w:eastAsia="es-MX"/>
              </w:rPr>
              <w:t>Los oferentes deben contemplar en caso de siniestro, que el asegurado se reserva el derecho de solicitar a la compañía de seguros el pago de la indemnización en dinero o mediante la reparación, y/o reposición del bien o bienes afectados, o mediante giro a los contratistas y/o proveedores de servicios o suministro de éstos u otros similares con los cuales el asegurado  decida reemplazarlos, y la compañía a petición escrita de la Entidad Asegurada, efectuará el pago de la indemnización, hasta el monto de su responsabilidad, bajo estas condiciones.</w:t>
            </w:r>
          </w:p>
        </w:tc>
      </w:tr>
      <w:tr w:rsidR="00473802" w:rsidRPr="00473802" w14:paraId="662ADA1F" w14:textId="77777777" w:rsidTr="00473802">
        <w:trPr>
          <w:trHeight w:val="222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BA0E2D4"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Primera opción de compra del salvamento por el asegurado. </w:t>
            </w:r>
            <w:r w:rsidRPr="00473802">
              <w:rPr>
                <w:rFonts w:ascii="Arial" w:eastAsia="Times New Roman" w:hAnsi="Arial" w:cs="Arial"/>
                <w:sz w:val="20"/>
                <w:szCs w:val="20"/>
                <w:lang w:val="es-MX" w:eastAsia="es-MX"/>
              </w:rPr>
              <w:t xml:space="preserve">Mediante la presente cláusula, la Aseguradora y la Entidad acuerdan que cuando la Aseguradora indemnice pérdidas amparadas por la presente póliza y resulte alguna recuperación o salvamento del bien asegurado o partes de él, la Aseguradora ofrecerá a la Entidad la primera opción de compra de los mismos (previo a la indemnización), caso en el cual, la aseguradora efectuará un peritazgo del mismo e informará el valor del avalúo. Lo anterior sin perjuicio de la participación que le corresponda a la Entidad sobre el valor del salvamento. El oferente se obliga a comunicar por escrito al asegurado en toda oportunidad a que haya lugar a la aplicación de esta cláusula, concediéndole a éste un plazo de noventa (90) días para que le informe si hará uso de tal opción o no. Si no se llega a un acuerdo entre el asegurado y la compañía por la compra del salvamento, la compañía quedará en libertad de disponer de él a su entera voluntad. </w:t>
            </w:r>
          </w:p>
        </w:tc>
      </w:tr>
      <w:tr w:rsidR="00473802" w:rsidRPr="00473802" w14:paraId="0C60E727" w14:textId="77777777" w:rsidTr="00473802">
        <w:trPr>
          <w:trHeight w:val="174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4FEC1E3"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Propiedad Horizontal. </w:t>
            </w:r>
            <w:r w:rsidRPr="00473802">
              <w:rPr>
                <w:rFonts w:ascii="Arial" w:eastAsia="Times New Roman" w:hAnsi="Arial" w:cs="Arial"/>
                <w:sz w:val="20"/>
                <w:szCs w:val="20"/>
                <w:lang w:val="es-MX" w:eastAsia="es-MX"/>
              </w:rPr>
              <w:t>La  póliza se extiende a cubrir únicamente las propiedades del asegurado, o las que se encuentren bajo su responsabilidad a cualquier título, amparando exclusivamente la parte del edificio de propiedad o bajo responsabilidad del asegurado. En consecuencia, las pérdidas ocurridas en aquellas partes de la construcción que sean de servicio común y por consiguiente de propiedad colectiva, quedarán amparados únicamente en proporción al derecho que sobre aquel tenga el asegurado.</w:t>
            </w:r>
          </w:p>
        </w:tc>
      </w:tr>
      <w:tr w:rsidR="00473802" w:rsidRPr="00473802" w14:paraId="4CB72E87" w14:textId="77777777" w:rsidTr="00473802">
        <w:trPr>
          <w:trHeight w:val="91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C9073CB"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Propiedad personal de empleados </w:t>
            </w:r>
            <w:r w:rsidRPr="00473802">
              <w:rPr>
                <w:rFonts w:ascii="Arial" w:eastAsia="Times New Roman" w:hAnsi="Arial" w:cs="Arial"/>
                <w:sz w:val="20"/>
                <w:szCs w:val="20"/>
                <w:lang w:val="es-MX" w:eastAsia="es-MX"/>
              </w:rPr>
              <w:t>vinculados bajo cualquier tipo de contrato. Se Sublimita a $5.000.000 EVENTO / $10.000.000 VIGENCIA,. EXCLUYE DINERO, JOYAS Y VEHÍCULOS.</w:t>
            </w:r>
          </w:p>
        </w:tc>
      </w:tr>
      <w:tr w:rsidR="00473802" w:rsidRPr="00473802" w14:paraId="2A5B8D1F" w14:textId="77777777" w:rsidTr="00473802">
        <w:trPr>
          <w:trHeight w:val="148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A80CD95"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 xml:space="preserve">Reconstrucción, Reposición, Reparación o Reemplazo. </w:t>
            </w:r>
            <w:r w:rsidRPr="00473802">
              <w:rPr>
                <w:rFonts w:ascii="Arial" w:eastAsia="Times New Roman" w:hAnsi="Arial" w:cs="Arial"/>
                <w:sz w:val="20"/>
                <w:szCs w:val="20"/>
                <w:lang w:val="es-MX" w:eastAsia="es-MX"/>
              </w:rPr>
              <w:t>La aseguradora se compromete a pagar las indemnizaciones derivadas del presente seguro sin tener en cuenta los deméritos que por cualquier causa haya sufrido el bien y se tomará para su indemnización el valor de reposición o reemplazo del bien asegurado, hasta la concurrencia del valor asegurado de conformidad con lo señalado por el artículo 1090 del código de comercio, de acuerdo con lo siguiente:</w:t>
            </w:r>
          </w:p>
        </w:tc>
      </w:tr>
      <w:tr w:rsidR="00473802" w:rsidRPr="00473802" w14:paraId="10330951" w14:textId="77777777" w:rsidTr="00473802">
        <w:trPr>
          <w:trHeight w:val="162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5419663"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1. Se entiende por valor de reposición o reemplazo de los bienes la cantidad de dinero que exigirá la adquisición de un bien nuevo de la misma clase y capacidad, sin tener en cuenta su demérito por uso, incluyendo el costo de transporte, derechos de aduana, permiso de uso de tenencia y de uso de porte si los hay, sin deducción alguna por depreciación, demérito, uso, vetustez, o en fin, por cualquier otro concepto. Esta cláusula no aplica para vehículos inmovilizados y los bienes que tengan componentes electricos y/o electrónicos y rotura de maquinaria.</w:t>
            </w:r>
          </w:p>
        </w:tc>
      </w:tr>
      <w:tr w:rsidR="00473802" w:rsidRPr="00473802" w14:paraId="419328DD" w14:textId="77777777" w:rsidTr="00473802">
        <w:trPr>
          <w:trHeight w:val="189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0F9287E"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2. Si con ocasión del siniestro, la reposición o reparación del conjunto o totalidad de los bienes, ó de un grupo de éstos o de cualquiera de ellos, el asegurado hiciera cualquier cambio o reforma en sus instalaciones, o reemplazare el o los bienes siniestrados por otro u otros de diferente naturaleza, o de mayor capacidad, serán de su cuenta los mayores costos que dichos cambios ocasionen. Se indemnizara a valor de reposición cuando el conjunto o la totalidad de ellos queden destruidos o de tal modo averiados que pierdan la aptitud para el fin para el que están destinados o cuando, no obstante no perder esa aptitud, su reparación, aunque se facilite, implique perjuicios en la calidad o eficiancia en la producción u operación.</w:t>
            </w:r>
          </w:p>
        </w:tc>
      </w:tr>
      <w:tr w:rsidR="00473802" w:rsidRPr="00473802" w14:paraId="4650E12D" w14:textId="77777777" w:rsidTr="0077660C">
        <w:trPr>
          <w:trHeight w:val="1203"/>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45937DE0"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3. La compañía aseguradora también se obliga a indemnizar el siniestro total o parcial con base en el valor de la reconstrucción, reposición, reparación o reemplazo, si se hace conveniente o necesaria la reconstrucción en un sitio distinto al del sitio afectado por el siniestro, sin que la indemnización exceda de la suma que hubiere debido indemnizar en casos normales.</w:t>
            </w:r>
          </w:p>
        </w:tc>
      </w:tr>
      <w:tr w:rsidR="00473802" w:rsidRPr="00473802" w14:paraId="25965625" w14:textId="77777777" w:rsidTr="0077660C">
        <w:trPr>
          <w:trHeight w:val="826"/>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7DB5D48"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4. Sin importar que la indemnización se haga bajo cualesquiera de las modalidades antes previstas, la compañía no estará obligada a responder sino hasta la concurrencia del valor asegurado, ajustado según lo estipulado en las condiciones de la póliza.</w:t>
            </w:r>
          </w:p>
        </w:tc>
      </w:tr>
      <w:tr w:rsidR="00473802" w:rsidRPr="00473802" w14:paraId="52C53B70" w14:textId="77777777" w:rsidTr="00473802">
        <w:trPr>
          <w:trHeight w:val="1125"/>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3738BC2"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Reparaciones y ajuste de pérdidas en caso de siniestro. </w:t>
            </w:r>
            <w:r w:rsidRPr="00473802">
              <w:rPr>
                <w:rFonts w:ascii="Arial" w:eastAsia="Times New Roman" w:hAnsi="Arial" w:cs="Arial"/>
                <w:sz w:val="20"/>
                <w:szCs w:val="20"/>
                <w:lang w:val="es-MX" w:eastAsia="es-MX"/>
              </w:rPr>
              <w:t xml:space="preserve">Para aquellas pérdidas o daños que no excedan en </w:t>
            </w:r>
            <w:r w:rsidRPr="00473802">
              <w:rPr>
                <w:rFonts w:ascii="Arial" w:eastAsia="Times New Roman" w:hAnsi="Arial" w:cs="Arial"/>
                <w:b/>
                <w:bCs/>
                <w:sz w:val="20"/>
                <w:szCs w:val="20"/>
                <w:lang w:val="es-MX" w:eastAsia="es-MX"/>
              </w:rPr>
              <w:t>$15.000.000</w:t>
            </w:r>
            <w:r w:rsidRPr="00473802">
              <w:rPr>
                <w:rFonts w:ascii="Arial" w:eastAsia="Times New Roman" w:hAnsi="Arial" w:cs="Arial"/>
                <w:sz w:val="20"/>
                <w:szCs w:val="20"/>
                <w:lang w:val="es-MX" w:eastAsia="es-MX"/>
              </w:rPr>
              <w:t xml:space="preserve"> el deducible pactado, la Aseguradora acepta abstenerse de nombrar ajustador y autoriza al asegurado para efectuar las reparaciones necesarias, con el compromiso del asegurado de informar el siniestro a la Aseguradora.</w:t>
            </w:r>
          </w:p>
        </w:tc>
      </w:tr>
      <w:tr w:rsidR="00473802" w:rsidRPr="00473802" w14:paraId="77BD4C56" w14:textId="77777777" w:rsidTr="00473802">
        <w:trPr>
          <w:trHeight w:val="180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738606BC"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Restablecimiento o restitución automática de la suma asegurada con cobro de prima adicional, excepto para AMIT Y AMCCOPH, </w:t>
            </w:r>
            <w:r w:rsidRPr="00473802">
              <w:rPr>
                <w:rFonts w:ascii="Arial" w:eastAsia="Times New Roman" w:hAnsi="Arial" w:cs="Arial"/>
                <w:color w:val="000000"/>
                <w:sz w:val="20"/>
                <w:szCs w:val="20"/>
                <w:lang w:val="es-MX" w:eastAsia="es-MX"/>
              </w:rPr>
              <w:t>Bajo esta cláusula, el Oferente debe contemplar que no obstante que la suma asegurada se reduce desde el momento del siniestro en el importe de la indemnización pagada por la compañía, la misma se entenderá restablecida, desde el momento en que el bien se restituya, reemplace o repare y/o la Aseguradora efectúe el pago de la indemnización en el importe correspondiente,  (Para limites a primera pérdida el restablecimiento se entenderá desde el momento de ocurrir el siniestro). Dicho restablecimiento dará derecho a la compañía al cobro de una prima proporcional por el resto de la vigencia de la póliza, calculada a prorrata. Esta condición no aplica para AMIT Y AMCCOPH.</w:t>
            </w:r>
          </w:p>
        </w:tc>
      </w:tr>
      <w:tr w:rsidR="00473802" w:rsidRPr="00473802" w14:paraId="40DAADDB" w14:textId="77777777" w:rsidTr="00473802">
        <w:trPr>
          <w:trHeight w:val="139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4266AC4"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Revocación por parte del asegurado sin penalización. (Liquidación a corto plazo). </w:t>
            </w:r>
            <w:r w:rsidRPr="00473802">
              <w:rPr>
                <w:rFonts w:ascii="Arial" w:eastAsia="Times New Roman" w:hAnsi="Arial" w:cs="Arial"/>
                <w:sz w:val="20"/>
                <w:szCs w:val="20"/>
                <w:lang w:val="es-MX" w:eastAsia="es-MX"/>
              </w:rPr>
              <w:t>Debe contemplarse bajo esta cláusula que la póliza podrá ser revocada unilateralmente por el Asegurado en cualquier momento de la vigencia del seguro, mediante noticia escrita enviada a su dirección comercial o a su última dirección registrada. La prima de seguro no devengada será liquidada a prorrata.</w:t>
            </w:r>
          </w:p>
        </w:tc>
      </w:tr>
      <w:tr w:rsidR="00473802" w:rsidRPr="00473802" w14:paraId="3174BAC1" w14:textId="77777777" w:rsidTr="0077660C">
        <w:trPr>
          <w:trHeight w:val="127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04C7D6E"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 xml:space="preserve">Rotura de vidrios. $1.110.000.000 </w:t>
            </w:r>
            <w:r w:rsidRPr="00473802">
              <w:rPr>
                <w:rFonts w:ascii="Arial" w:eastAsia="Times New Roman" w:hAnsi="Arial" w:cs="Arial"/>
                <w:sz w:val="20"/>
                <w:szCs w:val="20"/>
                <w:lang w:val="es-MX" w:eastAsia="es-MX"/>
              </w:rPr>
              <w:t xml:space="preserve">Queda entendido, convenido y aceptado que la póliza cubre los daños materiales que por cualquier causa sufran los vidrios interiores y exteriores que formen parte o no del inmueble asegurado, incluyendo los generados por huelga, asonada, motín, conmoción civil o popular, actos mal intencionados de terceros, sabotaje y actos terroristas. </w:t>
            </w:r>
          </w:p>
        </w:tc>
      </w:tr>
      <w:tr w:rsidR="00473802" w:rsidRPr="00473802" w14:paraId="74745EBB" w14:textId="77777777" w:rsidTr="00473802">
        <w:trPr>
          <w:trHeight w:val="180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62D5720"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Tabla de demérito que opera en caso de pérdidas totales por daño interno en equipos eléctricos y/o electrónicos y maquinaria y equipo. </w:t>
            </w:r>
            <w:r w:rsidRPr="00473802">
              <w:rPr>
                <w:rFonts w:ascii="Arial" w:eastAsia="Times New Roman" w:hAnsi="Arial" w:cs="Arial"/>
                <w:sz w:val="20"/>
                <w:szCs w:val="20"/>
                <w:lang w:val="es-MX" w:eastAsia="es-MX"/>
              </w:rPr>
              <w:t>Debe contemplarse para la elaboración de la propuesta la siguiente tabla de demérito que se aplicará en los reclamos que afecten la presente póliza y la cual es requisito mínimo obligatorio. El demérito aplicable según los porcentajes aquí establecidos, se aplicará a partir del año alcanzado por el equipo afectado. Se entiende incluido dentro de la definición de Equipos eléctricos y electrónicos, el Equipo y Maquinaria con componentes eléctricos y/o electrónicos. De igual forma la definición de Daño Interno, comprende los eventos amparados por Rotura de Maquinaria.</w:t>
            </w:r>
          </w:p>
        </w:tc>
      </w:tr>
      <w:tr w:rsidR="00473802" w:rsidRPr="00473802" w14:paraId="3DED85B5" w14:textId="77777777" w:rsidTr="0077660C">
        <w:trPr>
          <w:trHeight w:val="551"/>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6332A8"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Edad Equipo                                    </w:t>
            </w:r>
          </w:p>
        </w:tc>
        <w:tc>
          <w:tcPr>
            <w:tcW w:w="0" w:type="auto"/>
            <w:tcBorders>
              <w:top w:val="nil"/>
              <w:left w:val="nil"/>
              <w:bottom w:val="single" w:sz="4" w:space="0" w:color="auto"/>
              <w:right w:val="single" w:sz="4" w:space="0" w:color="auto"/>
            </w:tcBorders>
            <w:shd w:val="clear" w:color="000000" w:fill="FFFFFF"/>
            <w:vAlign w:val="center"/>
            <w:hideMark/>
          </w:tcPr>
          <w:p w14:paraId="0B9B214A"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Porcentaje anual                 </w:t>
            </w:r>
          </w:p>
        </w:tc>
        <w:tc>
          <w:tcPr>
            <w:tcW w:w="0" w:type="auto"/>
            <w:tcBorders>
              <w:top w:val="nil"/>
              <w:left w:val="nil"/>
              <w:bottom w:val="single" w:sz="4" w:space="0" w:color="auto"/>
              <w:right w:val="single" w:sz="4" w:space="0" w:color="auto"/>
            </w:tcBorders>
            <w:shd w:val="clear" w:color="000000" w:fill="FFFFFF"/>
            <w:vAlign w:val="center"/>
            <w:hideMark/>
          </w:tcPr>
          <w:p w14:paraId="5958C795"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Máximo demérito</w:t>
            </w:r>
          </w:p>
        </w:tc>
      </w:tr>
      <w:tr w:rsidR="00473802" w:rsidRPr="00473802" w14:paraId="7CAEDDE4" w14:textId="77777777" w:rsidTr="00473802">
        <w:trPr>
          <w:trHeight w:val="439"/>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2F3DC7"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 xml:space="preserve">De 0 a 5 años                                           </w:t>
            </w:r>
          </w:p>
        </w:tc>
        <w:tc>
          <w:tcPr>
            <w:tcW w:w="0" w:type="auto"/>
            <w:tcBorders>
              <w:top w:val="nil"/>
              <w:left w:val="nil"/>
              <w:bottom w:val="single" w:sz="4" w:space="0" w:color="auto"/>
              <w:right w:val="single" w:sz="4" w:space="0" w:color="auto"/>
            </w:tcBorders>
            <w:shd w:val="clear" w:color="000000" w:fill="FFFFFF"/>
            <w:vAlign w:val="center"/>
            <w:hideMark/>
          </w:tcPr>
          <w:p w14:paraId="1B61F102"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Cero (0)</w:t>
            </w:r>
          </w:p>
        </w:tc>
        <w:tc>
          <w:tcPr>
            <w:tcW w:w="0" w:type="auto"/>
            <w:tcBorders>
              <w:top w:val="nil"/>
              <w:left w:val="nil"/>
              <w:bottom w:val="single" w:sz="4" w:space="0" w:color="auto"/>
              <w:right w:val="single" w:sz="4" w:space="0" w:color="auto"/>
            </w:tcBorders>
            <w:shd w:val="clear" w:color="000000" w:fill="FFFFFF"/>
            <w:vAlign w:val="center"/>
            <w:hideMark/>
          </w:tcPr>
          <w:p w14:paraId="17679AEB"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Cero (0)</w:t>
            </w:r>
          </w:p>
        </w:tc>
      </w:tr>
      <w:tr w:rsidR="00473802" w:rsidRPr="00473802" w14:paraId="025DB207" w14:textId="77777777" w:rsidTr="00473802">
        <w:trPr>
          <w:trHeight w:val="3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8380B1"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Mas de 5 años</w:t>
            </w:r>
          </w:p>
        </w:tc>
        <w:tc>
          <w:tcPr>
            <w:tcW w:w="0" w:type="auto"/>
            <w:tcBorders>
              <w:top w:val="nil"/>
              <w:left w:val="nil"/>
              <w:bottom w:val="single" w:sz="4" w:space="0" w:color="auto"/>
              <w:right w:val="single" w:sz="4" w:space="0" w:color="auto"/>
            </w:tcBorders>
            <w:shd w:val="clear" w:color="000000" w:fill="FFFFFF"/>
            <w:vAlign w:val="center"/>
            <w:hideMark/>
          </w:tcPr>
          <w:p w14:paraId="5EECF2B8"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432876AD"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50%</w:t>
            </w:r>
          </w:p>
        </w:tc>
      </w:tr>
      <w:tr w:rsidR="00473802" w:rsidRPr="00473802" w14:paraId="50366B9A" w14:textId="77777777" w:rsidTr="00473802">
        <w:trPr>
          <w:trHeight w:val="1575"/>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F836E96"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Traslado temporal de bienes y/o equipos, incluye permanencia </w:t>
            </w:r>
            <w:r w:rsidRPr="00473802">
              <w:rPr>
                <w:rFonts w:ascii="Arial" w:eastAsia="Times New Roman" w:hAnsi="Arial" w:cs="Arial"/>
                <w:sz w:val="20"/>
                <w:szCs w:val="20"/>
                <w:lang w:val="es-MX" w:eastAsia="es-MX"/>
              </w:rPr>
              <w:t xml:space="preserve"> Sublímite de </w:t>
            </w:r>
            <w:r w:rsidRPr="00473802">
              <w:rPr>
                <w:rFonts w:ascii="Arial" w:eastAsia="Times New Roman" w:hAnsi="Arial" w:cs="Arial"/>
                <w:b/>
                <w:bCs/>
                <w:sz w:val="20"/>
                <w:szCs w:val="20"/>
                <w:lang w:val="es-MX" w:eastAsia="es-MX"/>
              </w:rPr>
              <w:t>$150.000.000</w:t>
            </w:r>
            <w:r w:rsidRPr="00473802">
              <w:rPr>
                <w:rFonts w:ascii="Arial" w:eastAsia="Times New Roman" w:hAnsi="Arial" w:cs="Arial"/>
                <w:sz w:val="20"/>
                <w:szCs w:val="20"/>
                <w:lang w:val="es-MX" w:eastAsia="es-MX"/>
              </w:rPr>
              <w:t xml:space="preserve"> y término de noventa (90) días. Las partes movibles de edificios y/o equipos y los demás bienes amparados que sean trasladados temporalmente a otro sitio dentro o fuera de los predios del asegurado para reparación, limpieza, renovación, acondicionamiento, revisión, mantenimiento o fines similares, deben ampararse por la póliza mientras que estén en montaje o desmontaje y durante el tiempo que permanezcan en otros sitios en el territorio de la República de Colombia, a partir de la fecha en que se inicie el traslado. Excluye transito y transporte fuera de predios del Asegurado.</w:t>
            </w:r>
          </w:p>
        </w:tc>
      </w:tr>
      <w:tr w:rsidR="00473802" w:rsidRPr="00473802" w14:paraId="4952CA5D" w14:textId="77777777" w:rsidTr="00473802">
        <w:trPr>
          <w:trHeight w:val="139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52CACE22" w14:textId="1128A31B"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No aplicación de infraseguro. </w:t>
            </w:r>
            <w:r w:rsidRPr="00473802">
              <w:rPr>
                <w:rFonts w:ascii="Arial" w:eastAsia="Times New Roman" w:hAnsi="Arial" w:cs="Arial"/>
                <w:sz w:val="20"/>
                <w:szCs w:val="20"/>
                <w:lang w:val="es-MX" w:eastAsia="es-MX"/>
              </w:rPr>
              <w:t>Queda entendido, convenido y aceptado que el valor real del interés asegurado es el que se señala en la carátula de la póliza. Por lo tanto, en caso de ocurrir un siniestro amparado bajo la presente póliza, la aseguradora indemnizará la pérdida hasta el monto del valor real de la pérdida, sin hacer aplicación de la regla proporcional por infraseguro, de acuerdo a lo señalado por el artículo 1089 del código de comercio. La regla proporcional se aplicara, siempre y cuando la diferencia entre el valor asegurado y el valor asegurable, no sea superior al 1</w:t>
            </w:r>
            <w:r w:rsidR="0077660C">
              <w:rPr>
                <w:rFonts w:ascii="Arial" w:eastAsia="Times New Roman" w:hAnsi="Arial" w:cs="Arial"/>
                <w:sz w:val="20"/>
                <w:szCs w:val="20"/>
                <w:lang w:val="es-MX" w:eastAsia="es-MX"/>
              </w:rPr>
              <w:t>0</w:t>
            </w:r>
            <w:r w:rsidRPr="00473802">
              <w:rPr>
                <w:rFonts w:ascii="Arial" w:eastAsia="Times New Roman" w:hAnsi="Arial" w:cs="Arial"/>
                <w:sz w:val="20"/>
                <w:szCs w:val="20"/>
                <w:lang w:val="es-MX" w:eastAsia="es-MX"/>
              </w:rPr>
              <w:t>%.</w:t>
            </w:r>
          </w:p>
        </w:tc>
      </w:tr>
      <w:tr w:rsidR="00473802" w:rsidRPr="00473802" w14:paraId="5528E72D" w14:textId="77777777" w:rsidTr="00473802">
        <w:trPr>
          <w:trHeight w:val="84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82A2DBA"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Valores globales sin relación de bienes. </w:t>
            </w:r>
            <w:r w:rsidRPr="00473802">
              <w:rPr>
                <w:rFonts w:ascii="Arial" w:eastAsia="Times New Roman" w:hAnsi="Arial" w:cs="Arial"/>
                <w:sz w:val="20"/>
                <w:szCs w:val="20"/>
                <w:lang w:val="es-MX" w:eastAsia="es-MX"/>
              </w:rPr>
              <w:t>Queda entendido, convenido y aceptado que el valor real del interés asegurado es el que se señala en la carátula de la póliza. Por tal razón la aseguradora no solicitará al asegurado la relación de bienes que conforma dicho monto.</w:t>
            </w:r>
          </w:p>
        </w:tc>
      </w:tr>
      <w:tr w:rsidR="00473802" w:rsidRPr="00473802" w14:paraId="424DDB67" w14:textId="77777777" w:rsidTr="00473802">
        <w:trPr>
          <w:trHeight w:val="672"/>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D398271"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No aplicación de avance tecnológico para equipos adquiridos por el asegurado a partir del 1 de enero de 2017. </w:t>
            </w:r>
          </w:p>
        </w:tc>
      </w:tr>
      <w:tr w:rsidR="00473802" w:rsidRPr="00473802" w14:paraId="165F2983" w14:textId="77777777" w:rsidTr="00473802">
        <w:trPr>
          <w:trHeight w:val="76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FE6DAA8"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Incendio y/o rayo en aparatos eléctricos, cobertura al 100%</w:t>
            </w:r>
          </w:p>
        </w:tc>
      </w:tr>
      <w:tr w:rsidR="00473802" w:rsidRPr="00473802" w14:paraId="2E930B61" w14:textId="77777777" w:rsidTr="00473802">
        <w:trPr>
          <w:trHeight w:val="420"/>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5BC84F32" w14:textId="77777777" w:rsidR="00473802" w:rsidRPr="00473802" w:rsidRDefault="00473802" w:rsidP="00473802">
            <w:pPr>
              <w:jc w:val="both"/>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t>8. Gastos Adicionales</w:t>
            </w:r>
          </w:p>
        </w:tc>
      </w:tr>
      <w:tr w:rsidR="00473802" w:rsidRPr="00473802" w14:paraId="5886FF1C"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5A285663"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La póliza se extiende a amparar los siguientes gastos en que razonablemente incurra la Entidad.</w:t>
            </w:r>
          </w:p>
        </w:tc>
      </w:tr>
      <w:tr w:rsidR="00473802" w:rsidRPr="00473802" w14:paraId="6991E65B" w14:textId="77777777" w:rsidTr="00473802">
        <w:trPr>
          <w:trHeight w:val="25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4DF5CBA2"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 Para los gastos relacionados a continuación no aplican deducibles:</w:t>
            </w:r>
          </w:p>
        </w:tc>
      </w:tr>
      <w:tr w:rsidR="00473802" w:rsidRPr="00473802" w14:paraId="1C0CAC1E" w14:textId="77777777" w:rsidTr="00473802">
        <w:trPr>
          <w:trHeight w:val="615"/>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D3F2F77"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sz w:val="20"/>
                <w:szCs w:val="20"/>
                <w:lang w:val="es-MX" w:eastAsia="es-MX"/>
              </w:rPr>
              <w:t>- Las condiciones a continuación relacionadas no sublimitadas, operan como un sublimite agregado hasta por la suma de $200.000.000, y combinado para los siguientes gastos, son adicionales al valor asegurado:</w:t>
            </w:r>
          </w:p>
        </w:tc>
      </w:tr>
      <w:tr w:rsidR="00473802" w:rsidRPr="00473802" w14:paraId="35F7050B" w14:textId="77777777" w:rsidTr="00473802">
        <w:trPr>
          <w:trHeight w:val="178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2D33C41B"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b/>
                <w:bCs/>
                <w:sz w:val="20"/>
                <w:szCs w:val="20"/>
                <w:lang w:val="es-MX" w:eastAsia="es-MX"/>
              </w:rPr>
              <w:lastRenderedPageBreak/>
              <w:t xml:space="preserve">Archivos, escrituras y documentos. </w:t>
            </w:r>
            <w:r w:rsidRPr="00473802">
              <w:rPr>
                <w:rFonts w:ascii="Arial" w:eastAsia="Times New Roman" w:hAnsi="Arial" w:cs="Arial"/>
                <w:sz w:val="20"/>
                <w:szCs w:val="20"/>
                <w:lang w:val="es-MX" w:eastAsia="es-MX"/>
              </w:rPr>
              <w:t xml:space="preserve">Bajo este amparo debe contemplarse el cubrimiento de los gastos demostrados en que incurra el asegurado, para la reproducción o reemplazo de la información contenida en documentos, manuscritos, planos, así como la reposición de archivos propios del negocio, la reconstrucción de cuentas por pagar,  reconstrucción de recibos contables, formularios, recibos de impuestos y los demás documentos propios de la actividad y necesarios para el funcionamiento de la GOBERNACIÓN DE SUCRE ; siempre y cuando su daño sea consecuencia de los riesgos amparados por ésta póliza; esta cobertura se extiende a los gastos de la trascripción y/o reconstrucción, incluyendo honorarios y demás gastos a que haya lugar.  </w:t>
            </w:r>
          </w:p>
        </w:tc>
      </w:tr>
      <w:tr w:rsidR="00473802" w:rsidRPr="00473802" w14:paraId="0DFD7E48" w14:textId="77777777" w:rsidTr="00473802">
        <w:trPr>
          <w:trHeight w:val="1339"/>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0894A8A"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Gastos adicionales por flete aéreo y/o flete expreso. </w:t>
            </w:r>
            <w:r w:rsidRPr="00473802">
              <w:rPr>
                <w:rFonts w:ascii="Arial" w:eastAsia="Times New Roman" w:hAnsi="Arial" w:cs="Arial"/>
                <w:sz w:val="20"/>
                <w:szCs w:val="20"/>
                <w:lang w:val="es-MX" w:eastAsia="es-MX"/>
              </w:rPr>
              <w:t xml:space="preserve">Bajo esta cobertura, se debe contemplar la extensión del seguro a amparar los gastos extras en que incurra el asegurado, adicionales y en exceso a sus costos normales de operación, por concepto de flete expreso y aéreo en que se incurra con el único fin de poder continuar con igual eficiencia, como sea posible, las operaciones del giro normal de sus actividades que se vean afectadas directamente por un evento amparado bajo este seguro. </w:t>
            </w:r>
          </w:p>
        </w:tc>
      </w:tr>
      <w:tr w:rsidR="00473802" w:rsidRPr="00473802" w14:paraId="135AAEC0" w14:textId="77777777" w:rsidTr="00473802">
        <w:trPr>
          <w:trHeight w:val="111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50E24415" w14:textId="77777777" w:rsidR="00473802" w:rsidRPr="00473802" w:rsidRDefault="00473802" w:rsidP="00473802">
            <w:pPr>
              <w:jc w:val="both"/>
              <w:rPr>
                <w:rFonts w:ascii="Arial" w:eastAsia="Times New Roman" w:hAnsi="Arial" w:cs="Arial"/>
                <w:b/>
                <w:bCs/>
                <w:color w:val="000000"/>
                <w:sz w:val="20"/>
                <w:szCs w:val="20"/>
                <w:lang w:val="es-MX" w:eastAsia="es-MX"/>
              </w:rPr>
            </w:pPr>
            <w:r w:rsidRPr="00473802">
              <w:rPr>
                <w:rFonts w:ascii="Arial" w:eastAsia="Times New Roman" w:hAnsi="Arial" w:cs="Arial"/>
                <w:b/>
                <w:bCs/>
                <w:color w:val="000000"/>
                <w:sz w:val="20"/>
                <w:szCs w:val="20"/>
                <w:lang w:val="es-MX" w:eastAsia="es-MX"/>
              </w:rPr>
              <w:t xml:space="preserve">Gastos de arrendamiento. </w:t>
            </w:r>
            <w:r w:rsidRPr="00473802">
              <w:rPr>
                <w:rFonts w:ascii="Arial" w:eastAsia="Times New Roman" w:hAnsi="Arial" w:cs="Arial"/>
                <w:color w:val="000000"/>
                <w:sz w:val="20"/>
                <w:szCs w:val="20"/>
                <w:lang w:val="es-MX" w:eastAsia="es-MX"/>
              </w:rPr>
              <w:t>Bajo esta cobertura, se debe contemplar la extensión del seguro a amparar los gastos adicionales y en exceso a sus costos normales de operación, se sublimita al 1.2% del valor asegurado del bien inmueble afectado.  incluido el pago de servicios públicos y administración, con el único fin de poder continuar con igual eficiencia, como sea posible, las operaciones del giro normal de sus actividades que se vean afectadas directamente por un evento amparado bajo este seguro.</w:t>
            </w:r>
          </w:p>
        </w:tc>
      </w:tr>
      <w:tr w:rsidR="00473802" w:rsidRPr="00473802" w14:paraId="19BEFEFC" w14:textId="77777777" w:rsidTr="00473802">
        <w:trPr>
          <w:trHeight w:val="148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8EEBC6A"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Gastos de auditores, revisores y contadores.  </w:t>
            </w:r>
            <w:r w:rsidRPr="00473802">
              <w:rPr>
                <w:rFonts w:ascii="Arial" w:eastAsia="Times New Roman" w:hAnsi="Arial" w:cs="Arial"/>
                <w:sz w:val="20"/>
                <w:szCs w:val="20"/>
                <w:lang w:val="es-MX" w:eastAsia="es-MX"/>
              </w:rPr>
              <w:t xml:space="preserve">La Aseguradora indemnizará bajo este amparo, los gastos en que incurra el asegurado, por pago de auditores, revisores y contadores que se requieran para analizar y certificar los datos extraídos de los libros de contabilidad y demás documentos propios de la actividad del asegurado, al igual que cualesquiera otras informaciones que sean solicitadas por la Aseguradora al asegurado, para la demostración de la ocurrencia y cuantía del siniestro, según lo establecido en esta póliza. </w:t>
            </w:r>
          </w:p>
        </w:tc>
      </w:tr>
      <w:tr w:rsidR="00473802" w:rsidRPr="00473802" w14:paraId="35011B6C" w14:textId="77777777" w:rsidTr="00473802">
        <w:trPr>
          <w:trHeight w:val="139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4F48C02B"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Gastos extraordinarios , </w:t>
            </w:r>
            <w:r w:rsidRPr="00473802">
              <w:rPr>
                <w:rFonts w:ascii="Arial" w:eastAsia="Times New Roman" w:hAnsi="Arial" w:cs="Arial"/>
                <w:sz w:val="20"/>
                <w:szCs w:val="20"/>
                <w:lang w:val="es-MX" w:eastAsia="es-MX"/>
              </w:rPr>
              <w:t>por tiempo extra, trabajo nocturno, trabajo en días feriados. Bajo esta cobertura, se debe contemplar la extensión del seguro a amparar los gastos extras en que incurra el asegurado, adicionales y en exceso a sus costos normales de operación, por concepto de tiempo extra, trabajo nocturno, trabajo en días feriados, con el único fin de poder continuar con igual eficiencia, como sea posible, las operaciones del giro normal de sus actividades que se vean afectadas directamente por un evento amparado bajo este seguro.</w:t>
            </w:r>
          </w:p>
        </w:tc>
      </w:tr>
      <w:tr w:rsidR="00473802" w:rsidRPr="00473802" w14:paraId="54BCC53C" w14:textId="77777777" w:rsidTr="00473802">
        <w:trPr>
          <w:trHeight w:val="582"/>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0685C3FF"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Gastos para acelerar la reparación, reacondicionamiento o el reemplazo de los bienes asegurados. </w:t>
            </w:r>
          </w:p>
        </w:tc>
      </w:tr>
      <w:tr w:rsidR="00473802" w:rsidRPr="00473802" w14:paraId="0F5E55A2" w14:textId="77777777" w:rsidTr="0077660C">
        <w:trPr>
          <w:trHeight w:val="1232"/>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8E76018"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b/>
                <w:bCs/>
                <w:sz w:val="20"/>
                <w:szCs w:val="20"/>
                <w:lang w:val="es-MX" w:eastAsia="es-MX"/>
              </w:rPr>
              <w:t xml:space="preserve">Gastos para la demostración del daño y/o pérdida. </w:t>
            </w:r>
            <w:r w:rsidRPr="00473802">
              <w:rPr>
                <w:rFonts w:ascii="Arial" w:eastAsia="Times New Roman" w:hAnsi="Arial" w:cs="Arial"/>
                <w:sz w:val="20"/>
                <w:szCs w:val="20"/>
                <w:lang w:val="es-MX" w:eastAsia="es-MX"/>
              </w:rPr>
              <w:t xml:space="preserve"> No obstante lo que se diga en contrario en las condiciones generales y particulares de la póliza, la Aseguradora se obliga a indemnizar los gastos en que necesaria y razonablemente incurra el asegurado con el fin de demostrar la ocurrencia del siniestro y la cuantía de la pérdida, en relación con los bienes asegurados que sean afectados por uno de los eventos amparados bajo la presente póliza.</w:t>
            </w:r>
          </w:p>
        </w:tc>
      </w:tr>
      <w:tr w:rsidR="00473802" w:rsidRPr="00473802" w14:paraId="16CEE7AC" w14:textId="77777777" w:rsidTr="00473802">
        <w:trPr>
          <w:trHeight w:val="183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107E452"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Gastos para la extinción del siniestro.  </w:t>
            </w:r>
            <w:r w:rsidRPr="00473802">
              <w:rPr>
                <w:rFonts w:ascii="Arial" w:eastAsia="Times New Roman" w:hAnsi="Arial" w:cs="Arial"/>
                <w:sz w:val="20"/>
                <w:szCs w:val="20"/>
                <w:lang w:val="es-MX" w:eastAsia="es-MX"/>
              </w:rPr>
              <w:t xml:space="preserve">De conformidad con lo señalado en el artículo 1074 del Código de Comercio, la Aseguradora otorga bajo este amparo, el cubrimiento de los gastos efectuados por el asegurado para la extinción del siniestro. Si existiesen otros seguros sobre la misma propiedad, la Aseguradora  será responsable únicamente por la proporción que le corresponda, en relación con tales otros seguros, sobre cualquier gasto efectuado en razón de esta condición. No se considera como gasto efectuado para la extinción de un incendio la colaboración personal prestada por el asegurado, ni la de sus empleados y obreros. </w:t>
            </w:r>
          </w:p>
        </w:tc>
      </w:tr>
      <w:tr w:rsidR="00473802" w:rsidRPr="00473802" w14:paraId="30AFBC93" w14:textId="77777777" w:rsidTr="0077660C">
        <w:trPr>
          <w:trHeight w:val="1132"/>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A9A68B6"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 xml:space="preserve">Gastos para la obtención de licencias y permisos para reconstruir el inmueble asegurado.  </w:t>
            </w:r>
            <w:r w:rsidRPr="00473802">
              <w:rPr>
                <w:rFonts w:ascii="Arial" w:eastAsia="Times New Roman" w:hAnsi="Arial" w:cs="Arial"/>
                <w:sz w:val="20"/>
                <w:szCs w:val="20"/>
                <w:lang w:val="es-MX" w:eastAsia="es-MX"/>
              </w:rPr>
              <w:t xml:space="preserve">Se ampara el costo razonable de los honorarios y materiales necesarios para obtener las licencias y permisos requeridos para reconstruir el inmueble, siempre y cuando dichos gastos se hayan generado como consecuencia de cualquier pérdida amparada en esta póliza. </w:t>
            </w:r>
          </w:p>
        </w:tc>
      </w:tr>
      <w:tr w:rsidR="00473802" w:rsidRPr="00473802" w14:paraId="5DBB0E8B" w14:textId="77777777" w:rsidTr="00473802">
        <w:trPr>
          <w:trHeight w:val="1770"/>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0E21E8E"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Gastos para la preservación de bienes o reparaciones transitorias o construcciones provisionales. </w:t>
            </w:r>
            <w:r w:rsidRPr="00473802">
              <w:rPr>
                <w:rFonts w:ascii="Arial" w:eastAsia="Times New Roman" w:hAnsi="Arial" w:cs="Arial"/>
                <w:sz w:val="20"/>
                <w:szCs w:val="20"/>
                <w:lang w:val="es-MX" w:eastAsia="es-MX"/>
              </w:rPr>
              <w:t xml:space="preserve">La aseguradora ampara bajo la presente cobertura, los gastos en que incurra el asegurado para realizar reemplazos temporales y/o provisionales o reacondicionamientos y/o reparación de los bienes asegurados afectados por siniestro, así como la ejecución de obras o construcciones provisionales o transitorias, siempre y cuando estos gastos sean requeridos para la preservación y/o conservación de los bienes asegurados con el fin de establecer y continuar con igual eficiencia, como sea posible, las operaciones del giro normal de las actividades del asegurado que sean afectados directamente por un evento amparado. </w:t>
            </w:r>
          </w:p>
        </w:tc>
      </w:tr>
      <w:tr w:rsidR="00473802" w:rsidRPr="00473802" w14:paraId="199D2612" w14:textId="77777777" w:rsidTr="00473802">
        <w:trPr>
          <w:trHeight w:val="120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C29C5FB"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Incremento en costos de operación. Hasta $100.000.000.</w:t>
            </w:r>
            <w:r w:rsidRPr="00473802">
              <w:rPr>
                <w:rFonts w:ascii="Arial" w:eastAsia="Times New Roman" w:hAnsi="Arial" w:cs="Arial"/>
                <w:sz w:val="20"/>
                <w:szCs w:val="20"/>
                <w:lang w:val="es-MX" w:eastAsia="es-MX"/>
              </w:rPr>
              <w:t xml:space="preserve"> Bajo esta cobertura se debe contemplar la extensión del seguro a amparar los gastos extraordinarios en los que el Asegurado puede haber tenido que incurrir con el único fin de poder continuar con igual eficiencia, como sea posible, las operaciones del giro normal de sus actividades, afectadas directamente por un evento amparado bajo este seguro. Periodo de indemnización 3 meses</w:t>
            </w:r>
          </w:p>
        </w:tc>
      </w:tr>
      <w:tr w:rsidR="00473802" w:rsidRPr="00473802" w14:paraId="37D225BE" w14:textId="77777777" w:rsidTr="0077660C">
        <w:trPr>
          <w:trHeight w:val="1318"/>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3CCA4BFE"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Pago de Honorarios Profesionales.  </w:t>
            </w:r>
            <w:r w:rsidRPr="00473802">
              <w:rPr>
                <w:rFonts w:ascii="Arial" w:eastAsia="Times New Roman" w:hAnsi="Arial" w:cs="Arial"/>
                <w:sz w:val="20"/>
                <w:szCs w:val="20"/>
                <w:lang w:val="es-MX" w:eastAsia="es-MX"/>
              </w:rPr>
              <w:t>Se otorga  cobertura para amparar los honorarios de arquitectos, interventores, ingenieros, técnicos, consultores u otros profesionales, que sean razonablemente necesarios, así como los gastos de viaje y estadía que se requieran para la planificación, reconstrucción o reparación de los bienes asegurados, a condición de que sea consecuencia de un siniestro cubierto por la póliza.</w:t>
            </w:r>
          </w:p>
        </w:tc>
      </w:tr>
      <w:tr w:rsidR="00473802" w:rsidRPr="00473802" w14:paraId="2D73A091" w14:textId="77777777" w:rsidTr="0077660C">
        <w:trPr>
          <w:trHeight w:val="841"/>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13FEB508" w14:textId="77777777" w:rsidR="00473802" w:rsidRPr="00473802" w:rsidRDefault="00473802" w:rsidP="00473802">
            <w:pPr>
              <w:jc w:val="both"/>
              <w:rPr>
                <w:rFonts w:ascii="Arial" w:eastAsia="Times New Roman" w:hAnsi="Arial" w:cs="Arial"/>
                <w:sz w:val="20"/>
                <w:szCs w:val="20"/>
                <w:lang w:val="es-MX" w:eastAsia="es-MX"/>
              </w:rPr>
            </w:pPr>
            <w:r w:rsidRPr="00473802">
              <w:rPr>
                <w:rFonts w:ascii="Arial" w:eastAsia="Times New Roman" w:hAnsi="Arial" w:cs="Arial"/>
                <w:b/>
                <w:bCs/>
                <w:sz w:val="20"/>
                <w:szCs w:val="20"/>
                <w:lang w:val="es-MX" w:eastAsia="es-MX"/>
              </w:rPr>
              <w:t>Compromiso de la Aseguradora sobre el plazo para el pago de las indemnizaciones</w:t>
            </w:r>
            <w:r w:rsidRPr="00473802">
              <w:rPr>
                <w:rFonts w:ascii="Arial" w:eastAsia="Times New Roman" w:hAnsi="Arial" w:cs="Arial"/>
                <w:sz w:val="20"/>
                <w:szCs w:val="20"/>
                <w:lang w:val="es-MX" w:eastAsia="es-MX"/>
              </w:rPr>
              <w:t>. Se otorga un termino de cinco días hábiles en el cual se realizará el pago de las indemnizaciones una vez formalizado el reclamo.</w:t>
            </w:r>
          </w:p>
        </w:tc>
      </w:tr>
      <w:tr w:rsidR="00473802" w:rsidRPr="00473802" w14:paraId="014CAEC6" w14:textId="77777777" w:rsidTr="00473802">
        <w:trPr>
          <w:trHeight w:val="175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47E3980B"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 xml:space="preserve">Portadores externos y reproducción de la información. </w:t>
            </w:r>
            <w:r w:rsidRPr="00473802">
              <w:rPr>
                <w:rFonts w:ascii="Arial" w:eastAsia="Times New Roman" w:hAnsi="Arial" w:cs="Arial"/>
                <w:sz w:val="20"/>
                <w:szCs w:val="20"/>
                <w:lang w:val="es-MX" w:eastAsia="es-MX"/>
              </w:rPr>
              <w:t xml:space="preserve">Bajo esta póliza se amparan los gastos, de los portadores externos de datos y los gastos de la reproducción o reemplazo de la información contenida en cintas magnéticas, sistemas electrónicos de procesamiento de datos, software, portadores externos de datos y demás sistemas de almacenamiento de información, registros, archivos de contabilidad y otros, incluyendo el arrendamiento de oficinas, equipos y el pago de digitadores, programadores de sistemas, ingenieros y dibujantes, entre otros, necesarios para recopilar o reconstruir la información destruida, averiada o inutilizada por el siniestro. Los oferentes deben contemplar bajo esta cobertura, el cubrimiento de las pérdidas y/o daños, para los equipos móviles y/o portátiles amparados bajo la póliza, mientras se encuentren o sean transportados en el exterior. </w:t>
            </w:r>
          </w:p>
        </w:tc>
      </w:tr>
      <w:tr w:rsidR="00473802" w:rsidRPr="00473802" w14:paraId="362BD521" w14:textId="77777777" w:rsidTr="00473802">
        <w:trPr>
          <w:trHeight w:val="1485"/>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75D98E0F"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t>Remoción de escombros y Gastos de demolición. Sublimite $3,500.000.000</w:t>
            </w:r>
            <w:r w:rsidRPr="00473802">
              <w:rPr>
                <w:rFonts w:ascii="Arial" w:eastAsia="Times New Roman" w:hAnsi="Arial" w:cs="Arial"/>
                <w:sz w:val="20"/>
                <w:szCs w:val="20"/>
                <w:lang w:val="es-MX" w:eastAsia="es-MX"/>
              </w:rPr>
              <w:t xml:space="preserve"> La compañia indemnizará mediante este amparo, los gastos demostrados por remoción de escombros, desmantelamiento, demolición o de apuntalamiento de los bienes asegurados, que hayan sido dañados o destruidos por la ocurrencia de cualquiera de los riesgos amparados, incluyendo los gastos de limpieza y recuperación de materiales y disposición de los escombros con ocasión de un siniestro. </w:t>
            </w:r>
          </w:p>
        </w:tc>
      </w:tr>
      <w:tr w:rsidR="00473802" w:rsidRPr="00473802" w14:paraId="63625ED8" w14:textId="77777777" w:rsidTr="00473802">
        <w:trPr>
          <w:trHeight w:val="282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4A9C25C9" w14:textId="77777777" w:rsidR="00473802" w:rsidRPr="00473802" w:rsidRDefault="00473802" w:rsidP="00473802">
            <w:pPr>
              <w:jc w:val="both"/>
              <w:rPr>
                <w:rFonts w:ascii="Arial" w:eastAsia="Times New Roman" w:hAnsi="Arial" w:cs="Arial"/>
                <w:b/>
                <w:bCs/>
                <w:sz w:val="20"/>
                <w:szCs w:val="20"/>
                <w:lang w:val="es-MX" w:eastAsia="es-MX"/>
              </w:rPr>
            </w:pPr>
            <w:r w:rsidRPr="00473802">
              <w:rPr>
                <w:rFonts w:ascii="Arial" w:eastAsia="Times New Roman" w:hAnsi="Arial" w:cs="Arial"/>
                <w:b/>
                <w:bCs/>
                <w:sz w:val="20"/>
                <w:szCs w:val="20"/>
                <w:lang w:val="es-MX" w:eastAsia="es-MX"/>
              </w:rPr>
              <w:lastRenderedPageBreak/>
              <w:t xml:space="preserve">Renta hasta 6 meses. Mensual $35.000.000 </w:t>
            </w:r>
            <w:r w:rsidRPr="00473802">
              <w:rPr>
                <w:rFonts w:ascii="Arial" w:eastAsia="Times New Roman" w:hAnsi="Arial" w:cs="Arial"/>
                <w:sz w:val="20"/>
                <w:szCs w:val="20"/>
                <w:lang w:val="es-MX" w:eastAsia="es-MX"/>
              </w:rPr>
              <w:t>Por el presente amparo y en los términos y condiciones aquí previstos, se cubre la perdida de arrendamiento del edificio asegurado, causada por cualquier evento cubierto por la presente póliza, de acuerdo con las siguientes condiciones: *Por arrendamiento se entiende la renta bruta que produce el edificio asegurado, menos cualesquiera gastos que no tengan necesariamente que continuar causándose después de destruida, la totalidad o parte del edificio asegurado. *La compañía garantiza la renta, bien sea parcial o total, solamente durante el tiempo normalmente necesario para reconstruir el edificio con la debida diligencia, quedando sin embargo, limitada esta obligación al número de meses pactados en la carátula de esta póliza, contados a partir de la fecha de interrupción de la renta. La indemnización será pagada durante el tiempo normalmente necesario para reconstruir el edificio, sin exceder el termino de doce (12) meses contados a partir de la fecha del siniestro. Si el edificio no pudiere ser reparado o reconstruido o tuviere que serlo con determinadas especificaciones o bajo circunstancias que impliquen un tiempo mayor del normalmente requerido, el periodo de indemnización se limitará al tíempo que hubiere sido suficiente para reparar o reconstruir el edificio normalmente.</w:t>
            </w:r>
          </w:p>
        </w:tc>
      </w:tr>
      <w:tr w:rsidR="00473802" w:rsidRPr="00473802" w14:paraId="7AF648AD" w14:textId="77777777" w:rsidTr="00473802">
        <w:trPr>
          <w:trHeight w:val="585"/>
        </w:trPr>
        <w:tc>
          <w:tcPr>
            <w:tcW w:w="0" w:type="auto"/>
            <w:gridSpan w:val="3"/>
            <w:tcBorders>
              <w:top w:val="single" w:sz="4" w:space="0" w:color="auto"/>
              <w:left w:val="single" w:sz="4" w:space="0" w:color="auto"/>
              <w:bottom w:val="single" w:sz="4" w:space="0" w:color="auto"/>
              <w:right w:val="single" w:sz="4" w:space="0" w:color="000000"/>
            </w:tcBorders>
            <w:shd w:val="clear" w:color="000000" w:fill="FF0000"/>
            <w:vAlign w:val="center"/>
            <w:hideMark/>
          </w:tcPr>
          <w:p w14:paraId="4FDD619B" w14:textId="77777777" w:rsidR="00473802" w:rsidRPr="00473802" w:rsidRDefault="00473802" w:rsidP="00473802">
            <w:pPr>
              <w:jc w:val="both"/>
              <w:rPr>
                <w:rFonts w:ascii="Arial" w:eastAsia="Times New Roman" w:hAnsi="Arial" w:cs="Arial"/>
                <w:b/>
                <w:bCs/>
                <w:color w:val="FFFFFF"/>
                <w:sz w:val="20"/>
                <w:szCs w:val="20"/>
                <w:lang w:val="es-MX" w:eastAsia="es-MX"/>
              </w:rPr>
            </w:pPr>
            <w:r w:rsidRPr="00473802">
              <w:rPr>
                <w:rFonts w:ascii="Arial" w:eastAsia="Times New Roman" w:hAnsi="Arial" w:cs="Arial"/>
                <w:b/>
                <w:bCs/>
                <w:color w:val="FFFFFF"/>
                <w:sz w:val="20"/>
                <w:szCs w:val="20"/>
                <w:lang w:val="es-MX" w:eastAsia="es-MX"/>
              </w:rPr>
              <w:t>9. Bienes exentos de aplicación de deducibles</w:t>
            </w:r>
          </w:p>
        </w:tc>
      </w:tr>
      <w:tr w:rsidR="00473802" w:rsidRPr="00473802" w14:paraId="57689423" w14:textId="77777777" w:rsidTr="00473802">
        <w:trPr>
          <w:trHeight w:val="106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554F1F17" w14:textId="77777777" w:rsidR="00473802" w:rsidRPr="00473802" w:rsidRDefault="00473802" w:rsidP="00473802">
            <w:pPr>
              <w:jc w:val="both"/>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Los siguientes bienes son exentos de aplicación de deducibles en la póliza de Todo Riesgo Daño Material: celular, calculadora, computadora de bolsillo, radio de comunicación, grabadora, vidrios y propiedad personal de empleados.</w:t>
            </w:r>
          </w:p>
        </w:tc>
      </w:tr>
      <w:tr w:rsidR="00473802" w:rsidRPr="00473802" w14:paraId="671A31EA" w14:textId="77777777" w:rsidTr="00473802">
        <w:trPr>
          <w:trHeight w:val="735"/>
        </w:trPr>
        <w:tc>
          <w:tcPr>
            <w:tcW w:w="0" w:type="auto"/>
            <w:gridSpan w:val="3"/>
            <w:tcBorders>
              <w:top w:val="single" w:sz="4" w:space="0" w:color="auto"/>
              <w:left w:val="single" w:sz="4" w:space="0" w:color="auto"/>
              <w:bottom w:val="single" w:sz="4" w:space="0" w:color="auto"/>
              <w:right w:val="single" w:sz="4" w:space="0" w:color="000000"/>
            </w:tcBorders>
            <w:vAlign w:val="center"/>
            <w:hideMark/>
          </w:tcPr>
          <w:p w14:paraId="6207FA4C" w14:textId="77777777" w:rsidR="00473802" w:rsidRPr="00473802" w:rsidRDefault="00473802" w:rsidP="00473802">
            <w:pPr>
              <w:jc w:val="both"/>
              <w:rPr>
                <w:rFonts w:ascii="Arial" w:eastAsia="Times New Roman" w:hAnsi="Arial" w:cs="Arial"/>
                <w:color w:val="000000"/>
                <w:sz w:val="20"/>
                <w:szCs w:val="20"/>
                <w:lang w:val="es-MX" w:eastAsia="es-MX"/>
              </w:rPr>
            </w:pPr>
            <w:r w:rsidRPr="00473802">
              <w:rPr>
                <w:rFonts w:ascii="Arial" w:eastAsia="Times New Roman" w:hAnsi="Arial" w:cs="Arial"/>
                <w:color w:val="000000"/>
                <w:sz w:val="20"/>
                <w:szCs w:val="20"/>
                <w:lang w:val="es-MX" w:eastAsia="es-MX"/>
              </w:rPr>
              <w:t>Los deducibles para demás bienes diferentes a los mencionados anteriormente, a opción del oferente, se aplicarán de acuerdo con la  tabla de calificación de deducibles, incluida en condiciones técnicas complementarias.</w:t>
            </w:r>
          </w:p>
        </w:tc>
      </w:tr>
    </w:tbl>
    <w:p w14:paraId="3630A5AA" w14:textId="77777777" w:rsidR="008B6608" w:rsidRDefault="008B6608" w:rsidP="00B27541">
      <w:pPr>
        <w:jc w:val="both"/>
        <w:rPr>
          <w:rFonts w:ascii="Arial Narrow" w:hAnsi="Arial Narrow" w:cs="Arial"/>
        </w:rPr>
      </w:pPr>
    </w:p>
    <w:sectPr w:rsidR="008B6608" w:rsidSect="00194021">
      <w:headerReference w:type="default" r:id="rId7"/>
      <w:footerReference w:type="even" r:id="rId8"/>
      <w:footerReference w:type="default" r:id="rId9"/>
      <w:footerReference w:type="first" r:id="rId10"/>
      <w:pgSz w:w="12240" w:h="15840" w:code="1"/>
      <w:pgMar w:top="20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5E1F7" w14:textId="77777777" w:rsidR="00C3418A" w:rsidRDefault="00C3418A" w:rsidP="00E85234">
      <w:r>
        <w:separator/>
      </w:r>
    </w:p>
  </w:endnote>
  <w:endnote w:type="continuationSeparator" w:id="0">
    <w:p w14:paraId="77C69216" w14:textId="77777777" w:rsidR="00C3418A" w:rsidRDefault="00C3418A" w:rsidP="00E8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E860" w14:textId="11FF11D5" w:rsidR="0077660C" w:rsidRDefault="0077660C">
    <w:pPr>
      <w:pStyle w:val="Piedepgina"/>
    </w:pPr>
    <w:r>
      <w:rPr>
        <w:noProof/>
      </w:rPr>
      <mc:AlternateContent>
        <mc:Choice Requires="wps">
          <w:drawing>
            <wp:anchor distT="0" distB="0" distL="0" distR="0" simplePos="0" relativeHeight="251681792" behindDoc="0" locked="0" layoutInCell="1" allowOverlap="1" wp14:anchorId="015BCD82" wp14:editId="5F9AC81B">
              <wp:simplePos x="635" y="635"/>
              <wp:positionH relativeFrom="page">
                <wp:align>center</wp:align>
              </wp:positionH>
              <wp:positionV relativeFrom="page">
                <wp:align>bottom</wp:align>
              </wp:positionV>
              <wp:extent cx="1633220" cy="345440"/>
              <wp:effectExtent l="0" t="0" r="5080" b="0"/>
              <wp:wrapNone/>
              <wp:docPr id="1733072685" name="Cuadro de texto 2"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264B3ECE" w14:textId="2FB527D3" w:rsidR="0077660C" w:rsidRPr="0077660C" w:rsidRDefault="0077660C" w:rsidP="0077660C">
                          <w:pPr>
                            <w:rPr>
                              <w:rFonts w:ascii="Calibri" w:eastAsia="Calibri" w:hAnsi="Calibri" w:cs="Calibri"/>
                              <w:noProof/>
                              <w:color w:val="000000"/>
                              <w:sz w:val="20"/>
                              <w:szCs w:val="20"/>
                            </w:rPr>
                          </w:pPr>
                          <w:r w:rsidRPr="0077660C">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5BCD82" id="_x0000_t202" coordsize="21600,21600" o:spt="202" path="m,l,21600r21600,l21600,xe">
              <v:stroke joinstyle="miter"/>
              <v:path gradientshapeok="t" o:connecttype="rect"/>
            </v:shapetype>
            <v:shape id="Cuadro de texto 2" o:spid="_x0000_s1026" type="#_x0000_t202" alt="DOCUMENTO DE USO INTERNO" style="position:absolute;margin-left:0;margin-top:0;width:128.6pt;height:27.2pt;z-index:2516817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" filled="f" stroked="f">
              <v:fill o:detectmouseclick="t"/>
              <v:textbox style="mso-fit-shape-to-text:t" inset="0,0,0,15pt">
                <w:txbxContent>
                  <w:p w14:paraId="264B3ECE" w14:textId="2FB527D3" w:rsidR="0077660C" w:rsidRPr="0077660C" w:rsidRDefault="0077660C" w:rsidP="0077660C">
                    <w:pPr>
                      <w:rPr>
                        <w:rFonts w:ascii="Calibri" w:eastAsia="Calibri" w:hAnsi="Calibri" w:cs="Calibri"/>
                        <w:noProof/>
                        <w:color w:val="000000"/>
                        <w:sz w:val="20"/>
                        <w:szCs w:val="20"/>
                      </w:rPr>
                    </w:pPr>
                    <w:r w:rsidRPr="0077660C">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F4A3" w14:textId="793EC4AD" w:rsidR="00E85234" w:rsidRDefault="00D01842">
    <w:pPr>
      <w:pStyle w:val="Piedepgina"/>
    </w:pPr>
    <w:r>
      <w:rPr>
        <w:noProof/>
      </w:rPr>
      <w:drawing>
        <wp:anchor distT="0" distB="0" distL="114300" distR="114300" simplePos="0" relativeHeight="251679744" behindDoc="1" locked="0" layoutInCell="1" allowOverlap="1" wp14:anchorId="0746DA33" wp14:editId="780C1FD9">
          <wp:simplePos x="0" y="0"/>
          <wp:positionH relativeFrom="margin">
            <wp:align>center</wp:align>
          </wp:positionH>
          <wp:positionV relativeFrom="paragraph">
            <wp:posOffset>-135890</wp:posOffset>
          </wp:positionV>
          <wp:extent cx="6212205" cy="579120"/>
          <wp:effectExtent l="0" t="0" r="0" b="0"/>
          <wp:wrapNone/>
          <wp:docPr id="17151769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579120"/>
                  </a:xfrm>
                  <a:prstGeom prst="rect">
                    <a:avLst/>
                  </a:prstGeom>
                  <a:noFill/>
                </pic:spPr>
              </pic:pic>
            </a:graphicData>
          </a:graphic>
        </wp:anchor>
      </w:drawing>
    </w:r>
    <w:r w:rsidR="004D7168">
      <w:rPr>
        <w:noProof/>
      </w:rPr>
      <w:drawing>
        <wp:anchor distT="0" distB="0" distL="114300" distR="114300" simplePos="0" relativeHeight="251678720" behindDoc="1" locked="0" layoutInCell="1" allowOverlap="1" wp14:anchorId="564ADB60" wp14:editId="0D4318E9">
          <wp:simplePos x="0" y="0"/>
          <wp:positionH relativeFrom="page">
            <wp:align>left</wp:align>
          </wp:positionH>
          <wp:positionV relativeFrom="paragraph">
            <wp:posOffset>340360</wp:posOffset>
          </wp:positionV>
          <wp:extent cx="7797165" cy="286385"/>
          <wp:effectExtent l="0" t="0" r="0" b="0"/>
          <wp:wrapNone/>
          <wp:docPr id="160049485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7165" cy="28638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F0E26" w14:textId="3580E87E" w:rsidR="0077660C" w:rsidRDefault="0077660C">
    <w:pPr>
      <w:pStyle w:val="Piedepgina"/>
    </w:pPr>
    <w:r>
      <w:rPr>
        <w:noProof/>
      </w:rPr>
      <mc:AlternateContent>
        <mc:Choice Requires="wps">
          <w:drawing>
            <wp:anchor distT="0" distB="0" distL="0" distR="0" simplePos="0" relativeHeight="251680768" behindDoc="0" locked="0" layoutInCell="1" allowOverlap="1" wp14:anchorId="2D63EDE2" wp14:editId="2C469614">
              <wp:simplePos x="635" y="635"/>
              <wp:positionH relativeFrom="page">
                <wp:align>center</wp:align>
              </wp:positionH>
              <wp:positionV relativeFrom="page">
                <wp:align>bottom</wp:align>
              </wp:positionV>
              <wp:extent cx="1633220" cy="345440"/>
              <wp:effectExtent l="0" t="0" r="5080" b="0"/>
              <wp:wrapNone/>
              <wp:docPr id="1221394182" name="Cuadro de texto 1"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75E81AF0" w14:textId="645E53BC" w:rsidR="0077660C" w:rsidRPr="0077660C" w:rsidRDefault="0077660C" w:rsidP="0077660C">
                          <w:pPr>
                            <w:rPr>
                              <w:rFonts w:ascii="Calibri" w:eastAsia="Calibri" w:hAnsi="Calibri" w:cs="Calibri"/>
                              <w:noProof/>
                              <w:color w:val="000000"/>
                              <w:sz w:val="20"/>
                              <w:szCs w:val="20"/>
                            </w:rPr>
                          </w:pPr>
                          <w:r w:rsidRPr="0077660C">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63EDE2" id="_x0000_t202" coordsize="21600,21600" o:spt="202" path="m,l,21600r21600,l21600,xe">
              <v:stroke joinstyle="miter"/>
              <v:path gradientshapeok="t" o:connecttype="rect"/>
            </v:shapetype>
            <v:shape id="Cuadro de texto 1" o:spid="_x0000_s1028" type="#_x0000_t202" alt="DOCUMENTO DE USO INTERNO" style="position:absolute;margin-left:0;margin-top:0;width:128.6pt;height:27.2pt;z-index:2516807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" filled="f" stroked="f">
              <v:fill o:detectmouseclick="t"/>
              <v:textbox style="mso-fit-shape-to-text:t" inset="0,0,0,15pt">
                <w:txbxContent>
                  <w:p w14:paraId="75E81AF0" w14:textId="645E53BC" w:rsidR="0077660C" w:rsidRPr="0077660C" w:rsidRDefault="0077660C" w:rsidP="0077660C">
                    <w:pPr>
                      <w:rPr>
                        <w:rFonts w:ascii="Calibri" w:eastAsia="Calibri" w:hAnsi="Calibri" w:cs="Calibri"/>
                        <w:noProof/>
                        <w:color w:val="000000"/>
                        <w:sz w:val="20"/>
                        <w:szCs w:val="20"/>
                      </w:rPr>
                    </w:pPr>
                    <w:r w:rsidRPr="0077660C">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855B1" w14:textId="77777777" w:rsidR="00C3418A" w:rsidRDefault="00C3418A" w:rsidP="00E85234">
      <w:r>
        <w:separator/>
      </w:r>
    </w:p>
  </w:footnote>
  <w:footnote w:type="continuationSeparator" w:id="0">
    <w:p w14:paraId="37BEA4F8" w14:textId="77777777" w:rsidR="00C3418A" w:rsidRDefault="00C3418A" w:rsidP="00E8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A802" w14:textId="64809C0F" w:rsidR="00E85234" w:rsidRDefault="009D42D7">
    <w:pPr>
      <w:pStyle w:val="Encabezado"/>
    </w:pPr>
    <w:r>
      <w:rPr>
        <w:noProof/>
      </w:rPr>
      <w:drawing>
        <wp:anchor distT="0" distB="0" distL="114300" distR="114300" simplePos="0" relativeHeight="251677696" behindDoc="1" locked="0" layoutInCell="1" allowOverlap="1" wp14:anchorId="3FFE553E" wp14:editId="743743FA">
          <wp:simplePos x="0" y="0"/>
          <wp:positionH relativeFrom="margin">
            <wp:align>center</wp:align>
          </wp:positionH>
          <wp:positionV relativeFrom="paragraph">
            <wp:posOffset>-154305</wp:posOffset>
          </wp:positionV>
          <wp:extent cx="2481580" cy="792480"/>
          <wp:effectExtent l="0" t="0" r="0" b="7620"/>
          <wp:wrapNone/>
          <wp:docPr id="6917047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7924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95F"/>
    <w:multiLevelType w:val="hybridMultilevel"/>
    <w:tmpl w:val="BAD4EE5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 w15:restartNumberingAfterBreak="0">
    <w:nsid w:val="580E5A00"/>
    <w:multiLevelType w:val="hybridMultilevel"/>
    <w:tmpl w:val="1324A6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09613887">
    <w:abstractNumId w:val="1"/>
  </w:num>
  <w:num w:numId="2" w16cid:durableId="739130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34"/>
    <w:rsid w:val="0000735E"/>
    <w:rsid w:val="00011CD2"/>
    <w:rsid w:val="00023AF8"/>
    <w:rsid w:val="00026634"/>
    <w:rsid w:val="0003021D"/>
    <w:rsid w:val="00047931"/>
    <w:rsid w:val="00047A27"/>
    <w:rsid w:val="000709C1"/>
    <w:rsid w:val="000861F3"/>
    <w:rsid w:val="00087C55"/>
    <w:rsid w:val="00092828"/>
    <w:rsid w:val="000B26E8"/>
    <w:rsid w:val="000D7323"/>
    <w:rsid w:val="000E64BB"/>
    <w:rsid w:val="001110E8"/>
    <w:rsid w:val="001478F2"/>
    <w:rsid w:val="0015217A"/>
    <w:rsid w:val="0015575B"/>
    <w:rsid w:val="00162A42"/>
    <w:rsid w:val="00170A06"/>
    <w:rsid w:val="0017141E"/>
    <w:rsid w:val="00174F67"/>
    <w:rsid w:val="00182EEE"/>
    <w:rsid w:val="00193075"/>
    <w:rsid w:val="00194021"/>
    <w:rsid w:val="00194F47"/>
    <w:rsid w:val="00195FC0"/>
    <w:rsid w:val="001A0FA6"/>
    <w:rsid w:val="001A6438"/>
    <w:rsid w:val="001A6CBC"/>
    <w:rsid w:val="001B5A4C"/>
    <w:rsid w:val="001D459C"/>
    <w:rsid w:val="001E6984"/>
    <w:rsid w:val="00200301"/>
    <w:rsid w:val="00205C87"/>
    <w:rsid w:val="002252D6"/>
    <w:rsid w:val="00236F32"/>
    <w:rsid w:val="00241311"/>
    <w:rsid w:val="002455A0"/>
    <w:rsid w:val="00246402"/>
    <w:rsid w:val="00255538"/>
    <w:rsid w:val="00256F62"/>
    <w:rsid w:val="002642D8"/>
    <w:rsid w:val="0027529B"/>
    <w:rsid w:val="0027699C"/>
    <w:rsid w:val="00277A72"/>
    <w:rsid w:val="00286439"/>
    <w:rsid w:val="00295B73"/>
    <w:rsid w:val="002B7BAC"/>
    <w:rsid w:val="002D6539"/>
    <w:rsid w:val="002E1D39"/>
    <w:rsid w:val="003178DC"/>
    <w:rsid w:val="00342371"/>
    <w:rsid w:val="00361B1D"/>
    <w:rsid w:val="00367849"/>
    <w:rsid w:val="003678A0"/>
    <w:rsid w:val="003768CF"/>
    <w:rsid w:val="0039297C"/>
    <w:rsid w:val="003A0BD6"/>
    <w:rsid w:val="003A1435"/>
    <w:rsid w:val="003B7744"/>
    <w:rsid w:val="003C1C56"/>
    <w:rsid w:val="003D43B9"/>
    <w:rsid w:val="003D5681"/>
    <w:rsid w:val="00402420"/>
    <w:rsid w:val="00407F48"/>
    <w:rsid w:val="00431C03"/>
    <w:rsid w:val="00436C45"/>
    <w:rsid w:val="00461183"/>
    <w:rsid w:val="004714D0"/>
    <w:rsid w:val="00473802"/>
    <w:rsid w:val="00496ECE"/>
    <w:rsid w:val="004A06E9"/>
    <w:rsid w:val="004B015F"/>
    <w:rsid w:val="004C691A"/>
    <w:rsid w:val="004D7168"/>
    <w:rsid w:val="004E38BA"/>
    <w:rsid w:val="00505086"/>
    <w:rsid w:val="005153F2"/>
    <w:rsid w:val="00522BAD"/>
    <w:rsid w:val="00531325"/>
    <w:rsid w:val="005335E1"/>
    <w:rsid w:val="00537B75"/>
    <w:rsid w:val="005436AC"/>
    <w:rsid w:val="00545EDE"/>
    <w:rsid w:val="005506A4"/>
    <w:rsid w:val="00552304"/>
    <w:rsid w:val="005557ED"/>
    <w:rsid w:val="00570F3C"/>
    <w:rsid w:val="005754F6"/>
    <w:rsid w:val="00577F6C"/>
    <w:rsid w:val="005820C1"/>
    <w:rsid w:val="005A0883"/>
    <w:rsid w:val="005B2D6E"/>
    <w:rsid w:val="005B44E7"/>
    <w:rsid w:val="005B5BE0"/>
    <w:rsid w:val="005D08DD"/>
    <w:rsid w:val="005D6B15"/>
    <w:rsid w:val="005D79AA"/>
    <w:rsid w:val="005D7C20"/>
    <w:rsid w:val="005E6B88"/>
    <w:rsid w:val="005F41D1"/>
    <w:rsid w:val="00611110"/>
    <w:rsid w:val="00637B0D"/>
    <w:rsid w:val="00640856"/>
    <w:rsid w:val="00646AA0"/>
    <w:rsid w:val="0065303D"/>
    <w:rsid w:val="00684A90"/>
    <w:rsid w:val="0069639E"/>
    <w:rsid w:val="006B46B9"/>
    <w:rsid w:val="006B496F"/>
    <w:rsid w:val="006C06FF"/>
    <w:rsid w:val="006C4E6E"/>
    <w:rsid w:val="006D5C55"/>
    <w:rsid w:val="006D6203"/>
    <w:rsid w:val="006F14FE"/>
    <w:rsid w:val="006F4DA0"/>
    <w:rsid w:val="00701E42"/>
    <w:rsid w:val="00702253"/>
    <w:rsid w:val="00707594"/>
    <w:rsid w:val="00731507"/>
    <w:rsid w:val="007359A4"/>
    <w:rsid w:val="0077660C"/>
    <w:rsid w:val="00786260"/>
    <w:rsid w:val="007A3C5D"/>
    <w:rsid w:val="007B1DCD"/>
    <w:rsid w:val="007B23D9"/>
    <w:rsid w:val="007D338A"/>
    <w:rsid w:val="007E2FB1"/>
    <w:rsid w:val="007F0777"/>
    <w:rsid w:val="008420DD"/>
    <w:rsid w:val="008538A4"/>
    <w:rsid w:val="008616CC"/>
    <w:rsid w:val="00864E0C"/>
    <w:rsid w:val="00884693"/>
    <w:rsid w:val="008852F7"/>
    <w:rsid w:val="00886016"/>
    <w:rsid w:val="00894B86"/>
    <w:rsid w:val="00897BB4"/>
    <w:rsid w:val="008A5F79"/>
    <w:rsid w:val="008B6608"/>
    <w:rsid w:val="008C418D"/>
    <w:rsid w:val="008D259B"/>
    <w:rsid w:val="008E7FD5"/>
    <w:rsid w:val="008F404D"/>
    <w:rsid w:val="0091698D"/>
    <w:rsid w:val="009173C7"/>
    <w:rsid w:val="009335F8"/>
    <w:rsid w:val="00934887"/>
    <w:rsid w:val="0094241C"/>
    <w:rsid w:val="00942A7D"/>
    <w:rsid w:val="009458D0"/>
    <w:rsid w:val="009508A2"/>
    <w:rsid w:val="009556B9"/>
    <w:rsid w:val="00961BB2"/>
    <w:rsid w:val="009651F7"/>
    <w:rsid w:val="0097007E"/>
    <w:rsid w:val="00973530"/>
    <w:rsid w:val="009A3537"/>
    <w:rsid w:val="009A770A"/>
    <w:rsid w:val="009D2429"/>
    <w:rsid w:val="009D2A3D"/>
    <w:rsid w:val="009D42D7"/>
    <w:rsid w:val="009D6458"/>
    <w:rsid w:val="009D7D72"/>
    <w:rsid w:val="009E1731"/>
    <w:rsid w:val="009F01DA"/>
    <w:rsid w:val="00A30D82"/>
    <w:rsid w:val="00A33666"/>
    <w:rsid w:val="00A40362"/>
    <w:rsid w:val="00A613EB"/>
    <w:rsid w:val="00A72BC3"/>
    <w:rsid w:val="00A74C7E"/>
    <w:rsid w:val="00A74DDF"/>
    <w:rsid w:val="00A7703B"/>
    <w:rsid w:val="00A82AB3"/>
    <w:rsid w:val="00A91E63"/>
    <w:rsid w:val="00AA4849"/>
    <w:rsid w:val="00AA5BA7"/>
    <w:rsid w:val="00AB05E2"/>
    <w:rsid w:val="00AB1B76"/>
    <w:rsid w:val="00AB4BF9"/>
    <w:rsid w:val="00AB7B91"/>
    <w:rsid w:val="00AF664D"/>
    <w:rsid w:val="00B0653C"/>
    <w:rsid w:val="00B13433"/>
    <w:rsid w:val="00B13BC7"/>
    <w:rsid w:val="00B27541"/>
    <w:rsid w:val="00B3032F"/>
    <w:rsid w:val="00B347A3"/>
    <w:rsid w:val="00B416C7"/>
    <w:rsid w:val="00B51EB4"/>
    <w:rsid w:val="00B55E63"/>
    <w:rsid w:val="00B633F9"/>
    <w:rsid w:val="00B87AAD"/>
    <w:rsid w:val="00B94355"/>
    <w:rsid w:val="00BC4A48"/>
    <w:rsid w:val="00BD3B97"/>
    <w:rsid w:val="00C12157"/>
    <w:rsid w:val="00C25C7A"/>
    <w:rsid w:val="00C3418A"/>
    <w:rsid w:val="00C47F55"/>
    <w:rsid w:val="00C61EA6"/>
    <w:rsid w:val="00C77C69"/>
    <w:rsid w:val="00C8141D"/>
    <w:rsid w:val="00C853A4"/>
    <w:rsid w:val="00C9022D"/>
    <w:rsid w:val="00C90EFA"/>
    <w:rsid w:val="00CA052F"/>
    <w:rsid w:val="00CA79DE"/>
    <w:rsid w:val="00CB47D2"/>
    <w:rsid w:val="00CC0016"/>
    <w:rsid w:val="00CC5554"/>
    <w:rsid w:val="00CC6219"/>
    <w:rsid w:val="00CD1100"/>
    <w:rsid w:val="00CF59D8"/>
    <w:rsid w:val="00D01842"/>
    <w:rsid w:val="00D20C34"/>
    <w:rsid w:val="00D20C7D"/>
    <w:rsid w:val="00D31E97"/>
    <w:rsid w:val="00D375AD"/>
    <w:rsid w:val="00D40253"/>
    <w:rsid w:val="00D63934"/>
    <w:rsid w:val="00D74CA1"/>
    <w:rsid w:val="00D848EA"/>
    <w:rsid w:val="00D870C6"/>
    <w:rsid w:val="00D97211"/>
    <w:rsid w:val="00DC0B15"/>
    <w:rsid w:val="00DC5BBD"/>
    <w:rsid w:val="00DD192D"/>
    <w:rsid w:val="00DD5389"/>
    <w:rsid w:val="00DE4D9A"/>
    <w:rsid w:val="00DE769F"/>
    <w:rsid w:val="00DF1BB5"/>
    <w:rsid w:val="00E05A1B"/>
    <w:rsid w:val="00E07D77"/>
    <w:rsid w:val="00E312C7"/>
    <w:rsid w:val="00E5297D"/>
    <w:rsid w:val="00E52F33"/>
    <w:rsid w:val="00E55CE6"/>
    <w:rsid w:val="00E63C70"/>
    <w:rsid w:val="00E75605"/>
    <w:rsid w:val="00E81AA0"/>
    <w:rsid w:val="00E85234"/>
    <w:rsid w:val="00EA494E"/>
    <w:rsid w:val="00EB2332"/>
    <w:rsid w:val="00EB6242"/>
    <w:rsid w:val="00EC2058"/>
    <w:rsid w:val="00EC5084"/>
    <w:rsid w:val="00EC7CFE"/>
    <w:rsid w:val="00ED5BD9"/>
    <w:rsid w:val="00ED5C2C"/>
    <w:rsid w:val="00ED7FD0"/>
    <w:rsid w:val="00EE76E5"/>
    <w:rsid w:val="00EF0D34"/>
    <w:rsid w:val="00EF0E97"/>
    <w:rsid w:val="00EF4202"/>
    <w:rsid w:val="00F01127"/>
    <w:rsid w:val="00F1663A"/>
    <w:rsid w:val="00F251C4"/>
    <w:rsid w:val="00F545E3"/>
    <w:rsid w:val="00F62AEB"/>
    <w:rsid w:val="00F855C3"/>
    <w:rsid w:val="00F861D1"/>
    <w:rsid w:val="00FB1383"/>
    <w:rsid w:val="00FB19AC"/>
    <w:rsid w:val="00FB391B"/>
    <w:rsid w:val="00FB614D"/>
    <w:rsid w:val="00FB6831"/>
    <w:rsid w:val="00FB68AC"/>
    <w:rsid w:val="00FE35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D6E3B"/>
  <w15:docId w15:val="{14BA731B-2B52-4DD5-9B9E-FB5F11F3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5234"/>
    <w:pPr>
      <w:tabs>
        <w:tab w:val="center" w:pos="4419"/>
        <w:tab w:val="right" w:pos="8838"/>
      </w:tabs>
    </w:pPr>
  </w:style>
  <w:style w:type="character" w:customStyle="1" w:styleId="EncabezadoCar">
    <w:name w:val="Encabezado Car"/>
    <w:basedOn w:val="Fuentedeprrafopredeter"/>
    <w:link w:val="Encabezado"/>
    <w:uiPriority w:val="99"/>
    <w:rsid w:val="00E85234"/>
  </w:style>
  <w:style w:type="paragraph" w:styleId="Piedepgina">
    <w:name w:val="footer"/>
    <w:basedOn w:val="Normal"/>
    <w:link w:val="PiedepginaCar"/>
    <w:uiPriority w:val="99"/>
    <w:unhideWhenUsed/>
    <w:rsid w:val="00E85234"/>
    <w:pPr>
      <w:tabs>
        <w:tab w:val="center" w:pos="4419"/>
        <w:tab w:val="right" w:pos="8838"/>
      </w:tabs>
    </w:pPr>
  </w:style>
  <w:style w:type="character" w:customStyle="1" w:styleId="PiedepginaCar">
    <w:name w:val="Pie de página Car"/>
    <w:basedOn w:val="Fuentedeprrafopredeter"/>
    <w:link w:val="Piedepgina"/>
    <w:uiPriority w:val="99"/>
    <w:rsid w:val="00E85234"/>
  </w:style>
  <w:style w:type="paragraph" w:styleId="Textodeglobo">
    <w:name w:val="Balloon Text"/>
    <w:basedOn w:val="Normal"/>
    <w:link w:val="TextodegloboCar"/>
    <w:uiPriority w:val="99"/>
    <w:semiHidden/>
    <w:unhideWhenUsed/>
    <w:rsid w:val="003D43B9"/>
    <w:rPr>
      <w:rFonts w:ascii="Tahoma" w:hAnsi="Tahoma" w:cs="Tahoma"/>
      <w:sz w:val="16"/>
      <w:szCs w:val="16"/>
    </w:rPr>
  </w:style>
  <w:style w:type="character" w:customStyle="1" w:styleId="TextodegloboCar">
    <w:name w:val="Texto de globo Car"/>
    <w:basedOn w:val="Fuentedeprrafopredeter"/>
    <w:link w:val="Textodeglobo"/>
    <w:uiPriority w:val="99"/>
    <w:semiHidden/>
    <w:rsid w:val="003D43B9"/>
    <w:rPr>
      <w:rFonts w:ascii="Tahoma" w:hAnsi="Tahoma" w:cs="Tahoma"/>
      <w:sz w:val="16"/>
      <w:szCs w:val="16"/>
    </w:rPr>
  </w:style>
  <w:style w:type="paragraph" w:customStyle="1" w:styleId="Default">
    <w:name w:val="Default"/>
    <w:rsid w:val="00B27541"/>
    <w:pPr>
      <w:autoSpaceDE w:val="0"/>
      <w:autoSpaceDN w:val="0"/>
      <w:adjustRightInd w:val="0"/>
    </w:pPr>
    <w:rPr>
      <w:rFonts w:ascii="Arial" w:hAnsi="Arial" w:cs="Arial"/>
      <w:color w:val="000000"/>
      <w14:ligatures w14:val="standardContextual"/>
    </w:rPr>
  </w:style>
  <w:style w:type="character" w:styleId="Hipervnculo">
    <w:name w:val="Hyperlink"/>
    <w:basedOn w:val="Fuentedeprrafopredeter"/>
    <w:uiPriority w:val="99"/>
    <w:unhideWhenUsed/>
    <w:rsid w:val="00ED7FD0"/>
    <w:rPr>
      <w:color w:val="0563C1" w:themeColor="hyperlink"/>
      <w:u w:val="single"/>
    </w:rPr>
  </w:style>
  <w:style w:type="character" w:styleId="Mencinsinresolver">
    <w:name w:val="Unresolved Mention"/>
    <w:basedOn w:val="Fuentedeprrafopredeter"/>
    <w:uiPriority w:val="99"/>
    <w:semiHidden/>
    <w:unhideWhenUsed/>
    <w:rsid w:val="00ED7FD0"/>
    <w:rPr>
      <w:color w:val="605E5C"/>
      <w:shd w:val="clear" w:color="auto" w:fill="E1DFDD"/>
    </w:rPr>
  </w:style>
  <w:style w:type="table" w:styleId="Tablaconcuadrcula">
    <w:name w:val="Table Grid"/>
    <w:basedOn w:val="Tablanormal"/>
    <w:uiPriority w:val="39"/>
    <w:rsid w:val="00087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05A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398732">
      <w:bodyDiv w:val="1"/>
      <w:marLeft w:val="0"/>
      <w:marRight w:val="0"/>
      <w:marTop w:val="0"/>
      <w:marBottom w:val="0"/>
      <w:divBdr>
        <w:top w:val="none" w:sz="0" w:space="0" w:color="auto"/>
        <w:left w:val="none" w:sz="0" w:space="0" w:color="auto"/>
        <w:bottom w:val="none" w:sz="0" w:space="0" w:color="auto"/>
        <w:right w:val="none" w:sz="0" w:space="0" w:color="auto"/>
      </w:divBdr>
    </w:div>
    <w:div w:id="153684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15</Pages>
  <Words>7883</Words>
  <Characters>44545</Characters>
  <Application>Microsoft Office Word</Application>
  <DocSecurity>0</DocSecurity>
  <Lines>664</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Aguas</dc:creator>
  <cp:lastModifiedBy>César Ramírez Vergara.</cp:lastModifiedBy>
  <cp:revision>140</cp:revision>
  <cp:lastPrinted>2025-03-13T16:19:00Z</cp:lastPrinted>
  <dcterms:created xsi:type="dcterms:W3CDTF">2025-02-20T14:40:00Z</dcterms:created>
  <dcterms:modified xsi:type="dcterms:W3CDTF">2026-06-05T06:03:00Z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48ccff06,674c972d,5ee3b3df</vt:lpwstr>
  </property>
  <property fmtid="{D5CDD505-2E9C-101B-9397-08002B2CF9AE}" pid="3" name="ClassificationContentMarkingFooterFontProps">
    <vt:lpwstr>#000000,10,Calibri</vt:lpwstr>
  </property>
  <property fmtid="{D5CDD505-2E9C-101B-9397-08002B2CF9AE}" pid="4" name="ClassificationContentMarkingFooterText">
    <vt:lpwstr>DOCUMENTO DE USO INTERNO</vt:lpwstr>
  </property>
  <property fmtid="{D5CDD505-2E9C-101B-9397-08002B2CF9AE}" pid="5" name="MSIP_Label_1f9f3886-688c-41ec-beb5-f6c446299e5f_Enabled">
    <vt:lpwstr>true</vt:lpwstr>
  </property>
  <property fmtid="{D5CDD505-2E9C-101B-9397-08002B2CF9AE}" pid="6" name="MSIP_Label_1f9f3886-688c-41ec-beb5-f6c446299e5f_SetDate">
    <vt:lpwstr>2026-03-24T18:48:40Z</vt:lpwstr>
  </property>
  <property fmtid="{D5CDD505-2E9C-101B-9397-08002B2CF9AE}" pid="7" name="MSIP_Label_1f9f3886-688c-41ec-beb5-f6c446299e5f_Method">
    <vt:lpwstr>Standard</vt:lpwstr>
  </property>
  <property fmtid="{D5CDD505-2E9C-101B-9397-08002B2CF9AE}" pid="8" name="MSIP_Label_1f9f3886-688c-41ec-beb5-f6c446299e5f_Name">
    <vt:lpwstr>Interno - Acceso abierto (No Cifrado)</vt:lpwstr>
  </property>
  <property fmtid="{D5CDD505-2E9C-101B-9397-08002B2CF9AE}" pid="9" name="MSIP_Label_1f9f3886-688c-41ec-beb5-f6c446299e5f_SiteId">
    <vt:lpwstr>73e84937-70de-4ceb-8f14-b8f9ab356f6e</vt:lpwstr>
  </property>
  <property fmtid="{D5CDD505-2E9C-101B-9397-08002B2CF9AE}" pid="10" name="MSIP_Label_1f9f3886-688c-41ec-beb5-f6c446299e5f_ActionId">
    <vt:lpwstr>48230703-d4d7-493f-9161-bf7c4fc0f132</vt:lpwstr>
  </property>
  <property fmtid="{D5CDD505-2E9C-101B-9397-08002B2CF9AE}" pid="11" name="MSIP_Label_1f9f3886-688c-41ec-beb5-f6c446299e5f_ContentBits">
    <vt:lpwstr>2</vt:lpwstr>
  </property>
  <property fmtid="{D5CDD505-2E9C-101B-9397-08002B2CF9AE}" pid="12" name="MSIP_Label_1f9f3886-688c-41ec-beb5-f6c446299e5f_Tag">
    <vt:lpwstr>10, 3, 0, 1</vt:lpwstr>
  </property>
</Properties>
</file>